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1E" w:rsidRDefault="00640C14">
      <w:pPr>
        <w:pStyle w:val="Title"/>
        <w:pBdr>
          <w:bottom w:val="single" w:sz="4" w:space="1" w:color="FF9900"/>
        </w:pBdr>
      </w:pPr>
      <w:bookmarkStart w:id="0" w:name="_GoBack"/>
      <w:bookmarkEnd w:id="0"/>
      <w:r>
        <w:rPr>
          <w:i/>
        </w:rPr>
        <w:t>CIO-CS</w:t>
      </w:r>
      <w:r w:rsidR="00B9601E">
        <w:t xml:space="preserve"> – NITAAC Statement of Work (SOW)</w:t>
      </w:r>
    </w:p>
    <w:p w:rsidR="00DE506D" w:rsidRPr="001701FA" w:rsidRDefault="004D5739" w:rsidP="00DE506D">
      <w:pPr>
        <w:spacing w:before="120" w:after="120"/>
        <w:rPr>
          <w:b/>
          <w:bCs/>
        </w:rPr>
      </w:pPr>
      <w:r>
        <w:rPr>
          <w:b/>
          <w:szCs w:val="20"/>
        </w:rPr>
        <w:t>Delivery Order Title</w:t>
      </w:r>
      <w:r w:rsidR="00DE506D" w:rsidRPr="001701FA">
        <w:rPr>
          <w:b/>
          <w:bCs/>
        </w:rPr>
        <w:t> </w:t>
      </w:r>
    </w:p>
    <w:p w:rsidR="00DE506D" w:rsidRDefault="00DE506D" w:rsidP="00DE506D">
      <w:pPr>
        <w:pStyle w:val="AppendixHeading2"/>
        <w:rPr>
          <w:bCs/>
          <w:caps w:val="0"/>
          <w:szCs w:val="24"/>
        </w:rPr>
      </w:pPr>
      <w:r>
        <w:rPr>
          <w:bCs/>
          <w:caps w:val="0"/>
          <w:szCs w:val="24"/>
        </w:rPr>
        <w:t>As of mm/dd/yy</w:t>
      </w:r>
    </w:p>
    <w:p w:rsidR="00DE506D" w:rsidRDefault="004D5739" w:rsidP="00DE506D">
      <w:pPr>
        <w:rPr>
          <w:b/>
          <w:bCs/>
        </w:rPr>
      </w:pPr>
      <w:r>
        <w:rPr>
          <w:b/>
          <w:bCs/>
        </w:rPr>
        <w:t>Agency</w:t>
      </w:r>
    </w:p>
    <w:p w:rsidR="00B9601E" w:rsidRDefault="00B9601E" w:rsidP="00DE506D">
      <w:r>
        <w:t> </w:t>
      </w:r>
    </w:p>
    <w:p w:rsidR="00B9601E" w:rsidRDefault="00B9601E">
      <w:pPr>
        <w:pStyle w:val="Instruction"/>
        <w:jc w:val="both"/>
      </w:pPr>
      <w:r>
        <w:t xml:space="preserve">Note: Guidance is presented in italics with paragraph borders, while example content is presented in normal font.  </w:t>
      </w:r>
      <w:r>
        <w:rPr>
          <w:b/>
          <w:bCs/>
        </w:rPr>
        <w:t>Please delete all guidance when finalizing the SOW.</w:t>
      </w:r>
    </w:p>
    <w:p w:rsidR="001D7EF5" w:rsidRDefault="001D7EF5">
      <w:pPr>
        <w:pStyle w:val="Instruction"/>
      </w:pPr>
    </w:p>
    <w:p w:rsidR="001D7EF5" w:rsidRPr="00AB3328" w:rsidRDefault="001D7EF5" w:rsidP="001D7EF5">
      <w:pPr>
        <w:pStyle w:val="Instruction"/>
        <w:jc w:val="both"/>
      </w:pPr>
      <w:r w:rsidRPr="00AB3328">
        <w:rPr>
          <w:bCs/>
          <w:color w:val="993366"/>
        </w:rPr>
        <w:t xml:space="preserve">Use of the template is encouraged, but not required, to ensure that all </w:t>
      </w:r>
      <w:r>
        <w:rPr>
          <w:bCs/>
          <w:color w:val="993366"/>
        </w:rPr>
        <w:t>listed</w:t>
      </w:r>
      <w:r w:rsidRPr="00AB3328">
        <w:rPr>
          <w:bCs/>
          <w:color w:val="993366"/>
        </w:rPr>
        <w:t xml:space="preserve"> information is provided</w:t>
      </w:r>
      <w:r>
        <w:rPr>
          <w:bCs/>
        </w:rPr>
        <w:t>.</w:t>
      </w:r>
    </w:p>
    <w:p w:rsidR="00B9601E" w:rsidRDefault="00B9601E">
      <w:pPr>
        <w:pStyle w:val="Instruction"/>
      </w:pPr>
      <w:r>
        <w:t> </w:t>
      </w:r>
    </w:p>
    <w:p w:rsidR="00B9601E" w:rsidRDefault="00B9601E">
      <w:pPr>
        <w:pStyle w:val="Instruction"/>
        <w:jc w:val="both"/>
      </w:pPr>
      <w:r>
        <w:t xml:space="preserve">The SOW must have an “as of date.”  If the SOW is revised or corrected during the pre-award phase, each revision must have a new date with changes marked by revision bars. When a SOW is revised for </w:t>
      </w:r>
      <w:r w:rsidR="00CB66E5">
        <w:t>delivery</w:t>
      </w:r>
      <w:r>
        <w:t xml:space="preserve"> order modification (after award) it must be given a new </w:t>
      </w:r>
      <w:r w:rsidR="004D5739">
        <w:t>“a</w:t>
      </w:r>
      <w:r>
        <w:t>s of date.</w:t>
      </w:r>
      <w:r w:rsidR="004D5739">
        <w:t>”</w:t>
      </w:r>
      <w:r>
        <w:t xml:space="preserve">  SOW’s must be page numbered.</w:t>
      </w:r>
    </w:p>
    <w:p w:rsidR="00B9601E" w:rsidRDefault="00B9601E">
      <w:r>
        <w:t> </w:t>
      </w:r>
    </w:p>
    <w:p w:rsidR="00B9601E" w:rsidRDefault="00327CDC">
      <w:pPr>
        <w:pStyle w:val="Heading1"/>
      </w:pPr>
      <w:r>
        <w:t xml:space="preserve">Delivery </w:t>
      </w:r>
      <w:r w:rsidR="00B9601E">
        <w:t xml:space="preserve">Order </w:t>
      </w:r>
      <w:r w:rsidR="001701FA">
        <w:t>Title</w:t>
      </w:r>
      <w:r w:rsidR="0098308D">
        <w:t xml:space="preserve"> &amp; Scope</w:t>
      </w:r>
    </w:p>
    <w:p w:rsidR="00DE506D" w:rsidRDefault="00DE506D" w:rsidP="00DE506D">
      <w:pPr>
        <w:pStyle w:val="Instruction"/>
        <w:jc w:val="both"/>
      </w:pPr>
      <w:r>
        <w:t xml:space="preserve">Include a short title of services </w:t>
      </w:r>
      <w:r w:rsidR="00671CFB">
        <w:t>and</w:t>
      </w:r>
      <w:r>
        <w:t xml:space="preserve"> a general description of items to be acquired</w:t>
      </w:r>
      <w:r w:rsidR="00671CFB">
        <w:t xml:space="preserve"> or scope of work. The</w:t>
      </w:r>
      <w:r>
        <w:t xml:space="preserve"> title should be unique and descriptive, and should be used consistently though</w:t>
      </w:r>
      <w:r w:rsidR="009C6189">
        <w:t xml:space="preserve"> out</w:t>
      </w:r>
      <w:r>
        <w:t xml:space="preserve"> the delivery order process.</w:t>
      </w:r>
      <w:r w:rsidR="00671CFB">
        <w:t xml:space="preserve"> </w:t>
      </w:r>
      <w:r w:rsidR="00E75F34">
        <w:t>Scope identifies the breadth and limitations of the requirement.</w:t>
      </w:r>
    </w:p>
    <w:p w:rsidR="00972946" w:rsidRPr="00327CDC" w:rsidRDefault="00972946" w:rsidP="00327CDC">
      <w:pPr>
        <w:pStyle w:val="Body"/>
      </w:pPr>
    </w:p>
    <w:p w:rsidR="00B9601E" w:rsidRDefault="00B9601E">
      <w:pPr>
        <w:pStyle w:val="Heading1"/>
      </w:pPr>
      <w:r>
        <w:t>Background</w:t>
      </w:r>
    </w:p>
    <w:p w:rsidR="00DE506D" w:rsidRDefault="008500D3" w:rsidP="00DE506D">
      <w:pPr>
        <w:pStyle w:val="Instruction"/>
        <w:jc w:val="both"/>
      </w:pPr>
      <w:r>
        <w:t>Provide information needed to acquaint the reader with the planned acquisition. Identify the requirement</w:t>
      </w:r>
      <w:r w:rsidR="00104849">
        <w:t xml:space="preserve"> </w:t>
      </w:r>
      <w:r>
        <w:t>in</w:t>
      </w:r>
      <w:r w:rsidR="00104849">
        <w:t xml:space="preserve"> </w:t>
      </w:r>
      <w:r>
        <w:t xml:space="preserve">very general terms; describe why the project is being pursued, and how it relates to other projects. Summarize any statutory authority or regulations affecting the overall requirement; and identify any background materials attached to the SOW. </w:t>
      </w:r>
    </w:p>
    <w:p w:rsidR="00210C5F" w:rsidRDefault="00210C5F" w:rsidP="00617FA5">
      <w:pPr>
        <w:rPr>
          <w:rFonts w:cs="Arial"/>
          <w:szCs w:val="20"/>
        </w:rPr>
      </w:pPr>
    </w:p>
    <w:p w:rsidR="00337FC0" w:rsidRPr="00133DE5" w:rsidRDefault="00337FC0" w:rsidP="00617FA5">
      <w:pPr>
        <w:rPr>
          <w:rFonts w:cs="Arial"/>
          <w:szCs w:val="20"/>
        </w:rPr>
      </w:pPr>
    </w:p>
    <w:p w:rsidR="00B9601E" w:rsidRDefault="00B9601E">
      <w:pPr>
        <w:pStyle w:val="Heading1"/>
      </w:pPr>
      <w:r>
        <w:t>Objectives</w:t>
      </w:r>
    </w:p>
    <w:p w:rsidR="00DE506D" w:rsidRDefault="00DE506D" w:rsidP="00DE506D">
      <w:pPr>
        <w:pStyle w:val="Instruction"/>
        <w:jc w:val="both"/>
      </w:pPr>
      <w:r>
        <w:t>Provide a concise overview of the customer's goals and expectations as a result of this delivery order.</w:t>
      </w:r>
      <w:r w:rsidR="0001562F">
        <w:t xml:space="preserve">  It does not need to include a description of deliverable products </w:t>
      </w:r>
      <w:r w:rsidR="00F44FD0">
        <w:t xml:space="preserve">or specific work tasks </w:t>
      </w:r>
      <w:r w:rsidR="0001562F">
        <w:t>since this will be included in the “Requirements” section below.</w:t>
      </w:r>
    </w:p>
    <w:p w:rsidR="00E532A8" w:rsidRDefault="00E532A8" w:rsidP="00E532A8">
      <w:pPr>
        <w:pStyle w:val="Default"/>
        <w:rPr>
          <w:rFonts w:ascii="Arial" w:hAnsi="Arial" w:cs="Arial"/>
          <w:sz w:val="20"/>
          <w:szCs w:val="20"/>
        </w:rPr>
      </w:pPr>
    </w:p>
    <w:p w:rsidR="00337FC0" w:rsidRDefault="00337FC0" w:rsidP="00E532A8">
      <w:pPr>
        <w:pStyle w:val="Default"/>
        <w:rPr>
          <w:rFonts w:ascii="Arial" w:hAnsi="Arial" w:cs="Arial"/>
          <w:sz w:val="20"/>
          <w:szCs w:val="20"/>
        </w:rPr>
      </w:pPr>
    </w:p>
    <w:p w:rsidR="00B9601E" w:rsidRDefault="00A118FB">
      <w:pPr>
        <w:pStyle w:val="Heading1"/>
      </w:pPr>
      <w:r>
        <w:t>Requirements</w:t>
      </w:r>
    </w:p>
    <w:p w:rsidR="00CB1A50" w:rsidRDefault="00CB1A50" w:rsidP="00CB1A50">
      <w:pPr>
        <w:pStyle w:val="Instruction"/>
        <w:jc w:val="both"/>
      </w:pPr>
      <w:r>
        <w:t xml:space="preserve">Provide a list of </w:t>
      </w:r>
      <w:r w:rsidR="00BE44BE">
        <w:t xml:space="preserve">the </w:t>
      </w:r>
      <w:r>
        <w:t>technical requirements necessary to fulfill this delivery order</w:t>
      </w:r>
      <w:r w:rsidR="00F476AD">
        <w:t xml:space="preserve">.  For example, this requirements section may contain a list of the </w:t>
      </w:r>
      <w:r w:rsidR="00BE44BE">
        <w:t xml:space="preserve">IT </w:t>
      </w:r>
      <w:r>
        <w:t>products</w:t>
      </w:r>
      <w:r w:rsidR="00F476AD">
        <w:t xml:space="preserve"> needed and/or</w:t>
      </w:r>
      <w:r>
        <w:t xml:space="preserve"> </w:t>
      </w:r>
      <w:r w:rsidR="00F476AD">
        <w:t xml:space="preserve">a description of the required IT support </w:t>
      </w:r>
      <w:r>
        <w:t>services such as installation</w:t>
      </w:r>
      <w:r w:rsidR="00F476AD">
        <w:t xml:space="preserve">, integration </w:t>
      </w:r>
      <w:r>
        <w:t xml:space="preserve">and </w:t>
      </w:r>
      <w:r w:rsidR="00F476AD">
        <w:t>maintenance</w:t>
      </w:r>
      <w:r>
        <w:t>.</w:t>
      </w:r>
      <w:r w:rsidR="00F476AD">
        <w:t xml:space="preserve">  This section should specify requirements clearly so that all readers can understand them.</w:t>
      </w:r>
    </w:p>
    <w:p w:rsidR="00B4373C" w:rsidRPr="00972946" w:rsidRDefault="00B4373C" w:rsidP="00504328">
      <w:pPr>
        <w:pStyle w:val="Body"/>
      </w:pPr>
    </w:p>
    <w:p w:rsidR="00B9601E" w:rsidRDefault="00B9601E">
      <w:pPr>
        <w:pStyle w:val="Heading1"/>
      </w:pPr>
      <w:r>
        <w:t>Contract Type</w:t>
      </w:r>
    </w:p>
    <w:p w:rsidR="00DE506D" w:rsidRDefault="00DE506D" w:rsidP="00DE506D">
      <w:pPr>
        <w:pStyle w:val="Instruction"/>
        <w:jc w:val="both"/>
      </w:pPr>
      <w:r>
        <w:t>State the contract type</w:t>
      </w:r>
      <w:r w:rsidR="00BE44BE">
        <w:t xml:space="preserve">.  For </w:t>
      </w:r>
      <w:r w:rsidR="00640C14">
        <w:t>CIO-CS</w:t>
      </w:r>
      <w:r w:rsidR="00A30978">
        <w:t xml:space="preserve"> delivery orders</w:t>
      </w:r>
      <w:r w:rsidR="00BE44BE">
        <w:t xml:space="preserve">, this is always </w:t>
      </w:r>
      <w:r>
        <w:t>Fixed Price.</w:t>
      </w:r>
    </w:p>
    <w:p w:rsidR="00883F4A" w:rsidRPr="00883F4A" w:rsidRDefault="00883F4A" w:rsidP="00927329">
      <w:pPr>
        <w:pStyle w:val="Body"/>
      </w:pPr>
    </w:p>
    <w:p w:rsidR="00144D1B" w:rsidRDefault="002F0A6E">
      <w:pPr>
        <w:pStyle w:val="Heading1"/>
      </w:pPr>
      <w:r>
        <w:lastRenderedPageBreak/>
        <w:t xml:space="preserve">Administration </w:t>
      </w:r>
    </w:p>
    <w:p w:rsidR="00144D1B" w:rsidRDefault="00144D1B" w:rsidP="00BC078C">
      <w:pPr>
        <w:pStyle w:val="Instruction"/>
        <w:pBdr>
          <w:top w:val="single" w:sz="4" w:space="1" w:color="auto"/>
          <w:left w:val="single" w:sz="4" w:space="4" w:color="auto"/>
          <w:bottom w:val="single" w:sz="4" w:space="1" w:color="auto"/>
          <w:right w:val="single" w:sz="4" w:space="4" w:color="auto"/>
        </w:pBdr>
        <w:rPr>
          <w:bdr w:val="single" w:sz="4" w:space="0" w:color="auto"/>
        </w:rPr>
      </w:pPr>
      <w:r w:rsidRPr="00BC078C">
        <w:t>Include this section if you want to provide information about the management of the work, such as who</w:t>
      </w:r>
      <w:r w:rsidR="00BC078C">
        <w:t xml:space="preserve"> is the point of contact for clarifying contract issues or changes.</w:t>
      </w:r>
    </w:p>
    <w:p w:rsidR="00BC078C" w:rsidRDefault="00BC078C" w:rsidP="00BC078C">
      <w:pPr>
        <w:pStyle w:val="Instruction"/>
        <w:pBdr>
          <w:top w:val="none" w:sz="0" w:space="0" w:color="auto"/>
          <w:left w:val="none" w:sz="0" w:space="0" w:color="auto"/>
          <w:bottom w:val="none" w:sz="0" w:space="0" w:color="auto"/>
          <w:right w:val="none" w:sz="0" w:space="0" w:color="auto"/>
        </w:pBdr>
        <w:rPr>
          <w:bdr w:val="single" w:sz="4" w:space="0" w:color="auto"/>
        </w:rPr>
      </w:pPr>
    </w:p>
    <w:p w:rsidR="00BC078C" w:rsidRDefault="00BC078C" w:rsidP="00BC078C">
      <w:pPr>
        <w:pStyle w:val="Instruction"/>
        <w:pBdr>
          <w:top w:val="none" w:sz="0" w:space="0" w:color="auto"/>
          <w:left w:val="none" w:sz="0" w:space="0" w:color="auto"/>
          <w:bottom w:val="none" w:sz="0" w:space="0" w:color="auto"/>
          <w:right w:val="none" w:sz="0" w:space="0" w:color="auto"/>
        </w:pBdr>
      </w:pPr>
    </w:p>
    <w:p w:rsidR="00B9601E" w:rsidRPr="004E440F" w:rsidRDefault="00B9601E">
      <w:pPr>
        <w:pStyle w:val="Heading1"/>
      </w:pPr>
      <w:r w:rsidRPr="004E440F">
        <w:t>Place of Performance</w:t>
      </w:r>
    </w:p>
    <w:p w:rsidR="00B9601E" w:rsidRDefault="004C2328" w:rsidP="00A536D4">
      <w:pPr>
        <w:pStyle w:val="Instruction"/>
        <w:pBdr>
          <w:top w:val="none" w:sz="0" w:space="0" w:color="auto"/>
          <w:left w:val="none" w:sz="0" w:space="0" w:color="auto"/>
          <w:bottom w:val="none" w:sz="0" w:space="0" w:color="auto"/>
          <w:right w:val="none" w:sz="0" w:space="0" w:color="auto"/>
        </w:pBdr>
      </w:pPr>
      <w:r>
        <w:rPr>
          <w:bdr w:val="single" w:sz="4" w:space="0" w:color="auto"/>
        </w:rPr>
        <w:t xml:space="preserve"> S</w:t>
      </w:r>
      <w:r w:rsidR="00B9601E" w:rsidRPr="00A536D4">
        <w:rPr>
          <w:bdr w:val="single" w:sz="4" w:space="0" w:color="auto"/>
        </w:rPr>
        <w:t>pecify whether work is to be performed at the contractor site or at a Government Sit</w:t>
      </w:r>
      <w:r w:rsidR="00B9601E" w:rsidRPr="004C2328">
        <w:rPr>
          <w:bdr w:val="single" w:sz="4" w:space="0" w:color="auto"/>
        </w:rPr>
        <w:t>e</w:t>
      </w:r>
      <w:r>
        <w:rPr>
          <w:bdr w:val="single" w:sz="4" w:space="0" w:color="auto"/>
        </w:rPr>
        <w:t xml:space="preserve">. </w:t>
      </w:r>
    </w:p>
    <w:p w:rsidR="002F0A6E" w:rsidRPr="002F0A6E" w:rsidRDefault="002F0A6E" w:rsidP="00A536D4">
      <w:pPr>
        <w:pStyle w:val="Instruction"/>
        <w:pBdr>
          <w:top w:val="none" w:sz="0" w:space="0" w:color="auto"/>
          <w:left w:val="none" w:sz="0" w:space="0" w:color="auto"/>
          <w:bottom w:val="none" w:sz="0" w:space="0" w:color="auto"/>
          <w:right w:val="none" w:sz="0" w:space="0" w:color="auto"/>
        </w:pBdr>
        <w:rPr>
          <w:i w:val="0"/>
        </w:rPr>
      </w:pPr>
    </w:p>
    <w:p w:rsidR="005B3D47" w:rsidRPr="005B3D47" w:rsidRDefault="005B3D47" w:rsidP="005B3D47">
      <w:pPr>
        <w:pStyle w:val="Instruction"/>
        <w:pBdr>
          <w:top w:val="none" w:sz="0" w:space="0" w:color="auto"/>
          <w:left w:val="none" w:sz="0" w:space="0" w:color="auto"/>
          <w:bottom w:val="none" w:sz="0" w:space="0" w:color="auto"/>
          <w:right w:val="none" w:sz="0" w:space="0" w:color="auto"/>
        </w:pBdr>
        <w:spacing w:before="100" w:after="100"/>
        <w:rPr>
          <w:i w:val="0"/>
          <w:szCs w:val="20"/>
        </w:rPr>
      </w:pPr>
    </w:p>
    <w:p w:rsidR="00B9601E" w:rsidRDefault="00B9601E">
      <w:pPr>
        <w:pStyle w:val="Heading1"/>
      </w:pPr>
      <w:r>
        <w:t>Period of Performance</w:t>
      </w:r>
    </w:p>
    <w:p w:rsidR="00DE506D" w:rsidRDefault="00DE506D" w:rsidP="00DE506D">
      <w:pPr>
        <w:pStyle w:val="Instruction"/>
        <w:jc w:val="both"/>
      </w:pPr>
      <w:r>
        <w:t>State the total number of calendar days after the Delivery Order award necessary for performance.  State, if the delivery order is to be awarded with a base period and options.  If the delivery order is to be awarded and funded incrementally state the base obligation period and incremental funding periods.</w:t>
      </w:r>
    </w:p>
    <w:p w:rsidR="00A536D4" w:rsidRPr="00A536D4" w:rsidRDefault="004E440F" w:rsidP="00A536D4">
      <w:pPr>
        <w:pStyle w:val="Body"/>
      </w:pPr>
      <w:r>
        <w:t xml:space="preserve"> </w:t>
      </w:r>
    </w:p>
    <w:p w:rsidR="00B9601E" w:rsidRDefault="00B9601E">
      <w:pPr>
        <w:pStyle w:val="Heading1"/>
      </w:pPr>
      <w:r>
        <w:t>Deliverables/Delivery Schedule</w:t>
      </w:r>
    </w:p>
    <w:p w:rsidR="00B9601E" w:rsidRDefault="00B9601E">
      <w:pPr>
        <w:pStyle w:val="Instruction"/>
        <w:jc w:val="both"/>
      </w:pPr>
      <w:r>
        <w:t>Describe precisely the items to be delivered</w:t>
      </w:r>
      <w:r w:rsidR="005E55B5">
        <w:t xml:space="preserve">.  For services, </w:t>
      </w:r>
      <w:r w:rsidR="00334D6A">
        <w:t xml:space="preserve">this </w:t>
      </w:r>
      <w:r w:rsidR="005E55B5">
        <w:t>may include</w:t>
      </w:r>
      <w:r>
        <w:t xml:space="preserve"> </w:t>
      </w:r>
      <w:r w:rsidR="005E55B5">
        <w:t xml:space="preserve">deliverables </w:t>
      </w:r>
      <w:r>
        <w:t xml:space="preserve">both during the period of performance and at completion of the </w:t>
      </w:r>
      <w:r w:rsidR="00AA00DA">
        <w:t>delivery</w:t>
      </w:r>
      <w:r>
        <w:t xml:space="preserve"> order.  Describe the schedule either in terms of calendar days from the date of </w:t>
      </w:r>
      <w:r w:rsidR="00AA00DA">
        <w:t>delivery</w:t>
      </w:r>
      <w:r>
        <w:t xml:space="preserve"> </w:t>
      </w:r>
      <w:r w:rsidR="00AA00DA">
        <w:t>o</w:t>
      </w:r>
      <w:r>
        <w:t xml:space="preserve">rder award or in calendar days when other projects or program elements are dependent on the delivery (e.g., 10 calendar days </w:t>
      </w:r>
      <w:r w:rsidR="00AA00DA">
        <w:t xml:space="preserve">after </w:t>
      </w:r>
      <w:r w:rsidR="005E55B5">
        <w:t>security</w:t>
      </w:r>
      <w:r w:rsidR="00AA00DA">
        <w:t xml:space="preserve"> plan is approved). </w:t>
      </w:r>
      <w:r>
        <w:t xml:space="preserve"> </w:t>
      </w:r>
    </w:p>
    <w:p w:rsidR="00742DF2" w:rsidRDefault="00742DF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4613"/>
        <w:gridCol w:w="2070"/>
      </w:tblGrid>
      <w:tr w:rsidR="00FA651B" w:rsidRPr="00742DF2" w:rsidTr="00FA651B">
        <w:tblPrEx>
          <w:tblCellMar>
            <w:top w:w="0" w:type="dxa"/>
            <w:bottom w:w="0" w:type="dxa"/>
          </w:tblCellMar>
        </w:tblPrEx>
        <w:trPr>
          <w:trHeight w:val="473"/>
          <w:jc w:val="center"/>
        </w:trPr>
        <w:tc>
          <w:tcPr>
            <w:tcW w:w="2342" w:type="dxa"/>
            <w:tcMar>
              <w:top w:w="58" w:type="dxa"/>
              <w:left w:w="115" w:type="dxa"/>
              <w:bottom w:w="58" w:type="dxa"/>
              <w:right w:w="115" w:type="dxa"/>
            </w:tcMar>
          </w:tcPr>
          <w:p w:rsidR="00FA651B" w:rsidRPr="00742DF2" w:rsidRDefault="00FA651B" w:rsidP="004B1489">
            <w:pPr>
              <w:autoSpaceDE w:val="0"/>
              <w:autoSpaceDN w:val="0"/>
              <w:adjustRightInd w:val="0"/>
              <w:rPr>
                <w:rFonts w:cs="Arial"/>
                <w:b/>
                <w:color w:val="000000"/>
                <w:szCs w:val="20"/>
              </w:rPr>
            </w:pPr>
            <w:r w:rsidRPr="00742DF2">
              <w:rPr>
                <w:rFonts w:cs="Arial"/>
                <w:b/>
                <w:i/>
                <w:iCs/>
                <w:color w:val="000000"/>
                <w:szCs w:val="20"/>
              </w:rPr>
              <w:t xml:space="preserve">SOW </w:t>
            </w:r>
            <w:r>
              <w:rPr>
                <w:rFonts w:cs="Arial"/>
                <w:b/>
                <w:i/>
                <w:iCs/>
                <w:color w:val="000000"/>
                <w:szCs w:val="20"/>
              </w:rPr>
              <w:t>REQUIREMENT</w:t>
            </w:r>
            <w:r w:rsidRPr="00742DF2">
              <w:rPr>
                <w:rFonts w:cs="Arial"/>
                <w:b/>
                <w:i/>
                <w:iCs/>
                <w:color w:val="000000"/>
                <w:szCs w:val="20"/>
              </w:rPr>
              <w:t xml:space="preserve"> # </w:t>
            </w:r>
          </w:p>
        </w:tc>
        <w:tc>
          <w:tcPr>
            <w:tcW w:w="4613" w:type="dxa"/>
            <w:tcMar>
              <w:top w:w="58" w:type="dxa"/>
              <w:left w:w="115" w:type="dxa"/>
              <w:bottom w:w="58" w:type="dxa"/>
              <w:right w:w="115" w:type="dxa"/>
            </w:tcMar>
          </w:tcPr>
          <w:p w:rsidR="00FA651B" w:rsidRPr="00742DF2" w:rsidRDefault="00FA651B" w:rsidP="00742DF2">
            <w:pPr>
              <w:autoSpaceDE w:val="0"/>
              <w:autoSpaceDN w:val="0"/>
              <w:adjustRightInd w:val="0"/>
              <w:rPr>
                <w:rFonts w:cs="Arial"/>
                <w:b/>
                <w:color w:val="000000"/>
                <w:szCs w:val="20"/>
              </w:rPr>
            </w:pPr>
            <w:r w:rsidRPr="00742DF2">
              <w:rPr>
                <w:rFonts w:cs="Arial"/>
                <w:b/>
                <w:i/>
                <w:iCs/>
                <w:color w:val="000000"/>
                <w:szCs w:val="20"/>
              </w:rPr>
              <w:t xml:space="preserve">DELIVERABLE TITLE </w:t>
            </w:r>
          </w:p>
        </w:tc>
        <w:tc>
          <w:tcPr>
            <w:tcW w:w="2070" w:type="dxa"/>
            <w:tcMar>
              <w:top w:w="58" w:type="dxa"/>
              <w:left w:w="115" w:type="dxa"/>
              <w:bottom w:w="58" w:type="dxa"/>
              <w:right w:w="115" w:type="dxa"/>
            </w:tcMar>
          </w:tcPr>
          <w:p w:rsidR="00FA651B" w:rsidRPr="00742DF2" w:rsidRDefault="00FA651B" w:rsidP="00B16063">
            <w:pPr>
              <w:autoSpaceDE w:val="0"/>
              <w:autoSpaceDN w:val="0"/>
              <w:adjustRightInd w:val="0"/>
              <w:rPr>
                <w:rFonts w:cs="Arial"/>
                <w:b/>
                <w:color w:val="000000"/>
                <w:szCs w:val="20"/>
              </w:rPr>
            </w:pPr>
            <w:r w:rsidRPr="00742DF2">
              <w:rPr>
                <w:rFonts w:cs="Arial"/>
                <w:b/>
                <w:i/>
                <w:iCs/>
                <w:color w:val="000000"/>
                <w:szCs w:val="20"/>
              </w:rPr>
              <w:t>#CALENDAR DAYS AFTER AWARD</w:t>
            </w:r>
            <w:r>
              <w:rPr>
                <w:rFonts w:cs="Arial"/>
                <w:b/>
                <w:i/>
                <w:iCs/>
                <w:color w:val="000000"/>
                <w:szCs w:val="20"/>
              </w:rPr>
              <w:t xml:space="preserve"> (OR DELIVERY DATE)</w:t>
            </w:r>
          </w:p>
        </w:tc>
      </w:tr>
      <w:tr w:rsidR="00FA651B" w:rsidRPr="00742DF2" w:rsidTr="00FA651B">
        <w:tblPrEx>
          <w:tblCellMar>
            <w:top w:w="0" w:type="dxa"/>
            <w:bottom w:w="0" w:type="dxa"/>
          </w:tblCellMar>
        </w:tblPrEx>
        <w:trPr>
          <w:trHeight w:val="322"/>
          <w:jc w:val="center"/>
        </w:trPr>
        <w:tc>
          <w:tcPr>
            <w:tcW w:w="2342"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4613"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2070"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r>
      <w:tr w:rsidR="00FA651B" w:rsidRPr="00742DF2" w:rsidTr="00FA651B">
        <w:tblPrEx>
          <w:tblCellMar>
            <w:top w:w="0" w:type="dxa"/>
            <w:bottom w:w="0" w:type="dxa"/>
          </w:tblCellMar>
        </w:tblPrEx>
        <w:trPr>
          <w:trHeight w:val="322"/>
          <w:jc w:val="center"/>
        </w:trPr>
        <w:tc>
          <w:tcPr>
            <w:tcW w:w="2342"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4613"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2070"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r>
      <w:tr w:rsidR="00FA651B" w:rsidRPr="00742DF2" w:rsidTr="00FA651B">
        <w:tblPrEx>
          <w:tblCellMar>
            <w:top w:w="0" w:type="dxa"/>
            <w:bottom w:w="0" w:type="dxa"/>
          </w:tblCellMar>
        </w:tblPrEx>
        <w:trPr>
          <w:trHeight w:val="322"/>
          <w:jc w:val="center"/>
        </w:trPr>
        <w:tc>
          <w:tcPr>
            <w:tcW w:w="2342"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4613"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2070"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r>
      <w:tr w:rsidR="00FA651B" w:rsidRPr="00742DF2" w:rsidTr="00FA651B">
        <w:tblPrEx>
          <w:tblCellMar>
            <w:top w:w="0" w:type="dxa"/>
            <w:bottom w:w="0" w:type="dxa"/>
          </w:tblCellMar>
        </w:tblPrEx>
        <w:trPr>
          <w:trHeight w:val="322"/>
          <w:jc w:val="center"/>
        </w:trPr>
        <w:tc>
          <w:tcPr>
            <w:tcW w:w="2342"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4613"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2070"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r>
      <w:tr w:rsidR="00FA651B" w:rsidRPr="00742DF2" w:rsidTr="00FA651B">
        <w:tblPrEx>
          <w:tblCellMar>
            <w:top w:w="0" w:type="dxa"/>
            <w:bottom w:w="0" w:type="dxa"/>
          </w:tblCellMar>
        </w:tblPrEx>
        <w:trPr>
          <w:trHeight w:val="352"/>
          <w:jc w:val="center"/>
        </w:trPr>
        <w:tc>
          <w:tcPr>
            <w:tcW w:w="2342"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4613"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c>
          <w:tcPr>
            <w:tcW w:w="2070" w:type="dxa"/>
            <w:tcMar>
              <w:top w:w="58" w:type="dxa"/>
              <w:left w:w="115" w:type="dxa"/>
              <w:bottom w:w="58" w:type="dxa"/>
              <w:right w:w="115" w:type="dxa"/>
            </w:tcMar>
          </w:tcPr>
          <w:p w:rsidR="00FA651B" w:rsidRPr="00742DF2" w:rsidRDefault="00FA651B" w:rsidP="00742DF2">
            <w:pPr>
              <w:autoSpaceDE w:val="0"/>
              <w:autoSpaceDN w:val="0"/>
              <w:adjustRightInd w:val="0"/>
              <w:rPr>
                <w:rFonts w:cs="Arial"/>
                <w:color w:val="000000"/>
                <w:szCs w:val="20"/>
              </w:rPr>
            </w:pPr>
          </w:p>
        </w:tc>
      </w:tr>
    </w:tbl>
    <w:p w:rsidR="00B9601E" w:rsidRDefault="00B9601E">
      <w:pPr>
        <w:jc w:val="center"/>
      </w:pPr>
      <w:r>
        <w:t> </w:t>
      </w:r>
    </w:p>
    <w:p w:rsidR="00B9601E" w:rsidRDefault="00B9601E">
      <w:pPr>
        <w:pStyle w:val="Heading1"/>
      </w:pPr>
      <w:r>
        <w:t>Security</w:t>
      </w:r>
    </w:p>
    <w:p w:rsidR="001E2A7A" w:rsidRDefault="001E2A7A" w:rsidP="004A3BB3">
      <w:pPr>
        <w:pStyle w:val="Instruction"/>
      </w:pPr>
      <w:r>
        <w:t>C</w:t>
      </w:r>
      <w:r w:rsidRPr="001A0337">
        <w:t>ustomers should craft this section to be compliant with the security requirements and guidance of their agencies.</w:t>
      </w:r>
      <w:r>
        <w:t xml:space="preserve">  Other security requirements may also apply and the customer is responsible for defining these additional requirements in their solicitation.</w:t>
      </w:r>
    </w:p>
    <w:p w:rsidR="001A0337" w:rsidRDefault="001A0337" w:rsidP="001A0337">
      <w:pPr>
        <w:pStyle w:val="ArticleHead"/>
        <w:rPr>
          <w:rFonts w:ascii="Arial" w:hAnsi="Arial" w:cs="Arial"/>
          <w:b w:val="0"/>
          <w:bCs w:val="0"/>
          <w:sz w:val="20"/>
        </w:rPr>
      </w:pPr>
    </w:p>
    <w:p w:rsidR="00621EA1" w:rsidRPr="001A0337" w:rsidRDefault="00621EA1" w:rsidP="00FC7EDA">
      <w:pPr>
        <w:pStyle w:val="ArticleHead"/>
        <w:rPr>
          <w:rFonts w:ascii="Arial" w:hAnsi="Arial" w:cs="Arial"/>
          <w:b w:val="0"/>
          <w:bCs w:val="0"/>
          <w:sz w:val="20"/>
        </w:rPr>
      </w:pPr>
    </w:p>
    <w:p w:rsidR="00DE506D" w:rsidRPr="00DE506D" w:rsidRDefault="00B9601E" w:rsidP="00DE506D">
      <w:pPr>
        <w:pStyle w:val="Heading1"/>
      </w:pPr>
      <w:r>
        <w:lastRenderedPageBreak/>
        <w:t>Government Furnished Equipment (GFE)/ Government Furnished Information (GFI)</w:t>
      </w:r>
    </w:p>
    <w:p w:rsidR="00DE506D" w:rsidRDefault="00DE506D" w:rsidP="00DE506D">
      <w:pPr>
        <w:pStyle w:val="Instruction"/>
        <w:keepNext/>
      </w:pPr>
      <w:r>
        <w:t>Identify any GFE and/or GFI that will be provided to the contractor.</w:t>
      </w:r>
      <w:r w:rsidR="00730829">
        <w:t xml:space="preserve">  If the list of property is extensive, this section should identify where that list can be found. Before offering to provide any property, make sure that it will be available when required, where required, and in the condition required by the contract. Failure to meet government furnished property requirements often lead to a contractor claim for an equitable adjustment to contract price, delivery, or other requirements. Specific requirements about providing government furnished property can be found in FAR 45, government property, and related agency policy.</w:t>
      </w:r>
    </w:p>
    <w:p w:rsidR="00DE506D" w:rsidRPr="00927329" w:rsidRDefault="00DE506D" w:rsidP="00927329">
      <w:pPr>
        <w:pStyle w:val="Body"/>
        <w:rPr>
          <w:rFonts w:cs="Arial"/>
        </w:rPr>
      </w:pPr>
    </w:p>
    <w:p w:rsidR="00B9601E" w:rsidRDefault="00B9601E" w:rsidP="00DE506D">
      <w:pPr>
        <w:pStyle w:val="Heading1"/>
      </w:pPr>
      <w:r>
        <w:t>Packaging, Packing, and Shipping Instructions</w:t>
      </w:r>
    </w:p>
    <w:p w:rsidR="00B9601E" w:rsidRDefault="00B9601E">
      <w:pPr>
        <w:pStyle w:val="Instruction"/>
      </w:pPr>
      <w:r>
        <w:t>At a minimum, th</w:t>
      </w:r>
      <w:r w:rsidR="00FB41F0">
        <w:t>e SOW should state the following:</w:t>
      </w:r>
    </w:p>
    <w:p w:rsidR="00B9601E" w:rsidRDefault="00B9601E">
      <w:pPr>
        <w:pStyle w:val="BodyText3"/>
      </w:pPr>
      <w:r>
        <w:t>The contractor shall ensure that all items are preserved, packaged, packed and marked in accordance with best commercial practices to meet the packing requirements of the carrier and to ensure safe and timely delivery at the intended destination.  All data and correspondence submitted shall reference:</w:t>
      </w:r>
    </w:p>
    <w:p w:rsidR="00B9601E" w:rsidRDefault="00B9601E">
      <w:r>
        <w:t> </w:t>
      </w:r>
    </w:p>
    <w:p w:rsidR="00A97675" w:rsidRPr="00431059" w:rsidRDefault="00A97675" w:rsidP="001368C6">
      <w:pPr>
        <w:numPr>
          <w:ilvl w:val="0"/>
          <w:numId w:val="8"/>
        </w:numPr>
        <w:tabs>
          <w:tab w:val="left" w:pos="360"/>
        </w:tabs>
      </w:pPr>
      <w:r>
        <w:t xml:space="preserve">The </w:t>
      </w:r>
      <w:r w:rsidR="00DE506D" w:rsidRPr="00431059">
        <w:t>Agency</w:t>
      </w:r>
      <w:r w:rsidRPr="00431059">
        <w:t xml:space="preserve"> Delivery Order Number</w:t>
      </w:r>
    </w:p>
    <w:p w:rsidR="00B9601E" w:rsidRPr="00431059" w:rsidRDefault="00B9601E" w:rsidP="001368C6">
      <w:pPr>
        <w:numPr>
          <w:ilvl w:val="0"/>
          <w:numId w:val="8"/>
        </w:numPr>
        <w:tabs>
          <w:tab w:val="left" w:pos="360"/>
        </w:tabs>
      </w:pPr>
      <w:r w:rsidRPr="00431059">
        <w:t xml:space="preserve">The </w:t>
      </w:r>
      <w:r w:rsidR="00640C14">
        <w:t>CIO-CS</w:t>
      </w:r>
      <w:r w:rsidRPr="00431059">
        <w:t xml:space="preserve"> </w:t>
      </w:r>
      <w:r w:rsidR="001B7481" w:rsidRPr="00431059">
        <w:t>Delivery</w:t>
      </w:r>
      <w:r w:rsidRPr="00431059">
        <w:t xml:space="preserve"> Order </w:t>
      </w:r>
      <w:r w:rsidR="001B7481" w:rsidRPr="00431059">
        <w:t xml:space="preserve">Tracking </w:t>
      </w:r>
      <w:r w:rsidRPr="00431059">
        <w:t xml:space="preserve">Number </w:t>
      </w:r>
    </w:p>
    <w:p w:rsidR="00B9601E" w:rsidRPr="00431059" w:rsidRDefault="00B9601E" w:rsidP="001368C6">
      <w:pPr>
        <w:numPr>
          <w:ilvl w:val="0"/>
          <w:numId w:val="8"/>
        </w:numPr>
        <w:tabs>
          <w:tab w:val="left" w:pos="360"/>
        </w:tabs>
      </w:pPr>
      <w:r w:rsidRPr="00431059">
        <w:t xml:space="preserve">The government end user agency </w:t>
      </w:r>
    </w:p>
    <w:p w:rsidR="00B9601E" w:rsidRPr="00431059" w:rsidRDefault="00B9601E">
      <w:pPr>
        <w:tabs>
          <w:tab w:val="left" w:pos="360"/>
        </w:tabs>
        <w:ind w:left="360" w:hanging="180"/>
      </w:pPr>
      <w:r w:rsidRPr="00431059">
        <w:t xml:space="preserve">   4.</w:t>
      </w:r>
      <w:r w:rsidRPr="00431059">
        <w:tab/>
        <w:t xml:space="preserve">The name of the COR </w:t>
      </w:r>
    </w:p>
    <w:p w:rsidR="00B9601E" w:rsidRPr="00431059" w:rsidRDefault="00B9601E">
      <w:r w:rsidRPr="00431059">
        <w:t> </w:t>
      </w:r>
    </w:p>
    <w:p w:rsidR="00B9601E" w:rsidRPr="00431059" w:rsidRDefault="00B9601E">
      <w:r w:rsidRPr="00431059">
        <w:t>Containers shall be clearly marked as follows:</w:t>
      </w:r>
    </w:p>
    <w:p w:rsidR="00B9601E" w:rsidRPr="00431059" w:rsidRDefault="00B9601E" w:rsidP="00CF0C45">
      <w:r w:rsidRPr="00431059">
        <w:t> </w:t>
      </w:r>
    </w:p>
    <w:p w:rsidR="00B9601E" w:rsidRPr="00431059" w:rsidRDefault="00B9601E" w:rsidP="001368C6">
      <w:pPr>
        <w:numPr>
          <w:ilvl w:val="0"/>
          <w:numId w:val="9"/>
        </w:numPr>
        <w:tabs>
          <w:tab w:val="left" w:pos="360"/>
        </w:tabs>
      </w:pPr>
      <w:r w:rsidRPr="00431059">
        <w:t xml:space="preserve">Name of contractor </w:t>
      </w:r>
    </w:p>
    <w:p w:rsidR="004B7979" w:rsidRPr="00431059" w:rsidRDefault="004B7979" w:rsidP="001368C6">
      <w:pPr>
        <w:numPr>
          <w:ilvl w:val="0"/>
          <w:numId w:val="9"/>
        </w:numPr>
        <w:tabs>
          <w:tab w:val="left" w:pos="360"/>
        </w:tabs>
      </w:pPr>
      <w:r w:rsidRPr="00431059">
        <w:t>The name of the COR</w:t>
      </w:r>
    </w:p>
    <w:p w:rsidR="00A97675" w:rsidRPr="00431059" w:rsidRDefault="00A97675" w:rsidP="001368C6">
      <w:pPr>
        <w:numPr>
          <w:ilvl w:val="0"/>
          <w:numId w:val="9"/>
        </w:numPr>
        <w:tabs>
          <w:tab w:val="left" w:pos="360"/>
        </w:tabs>
      </w:pPr>
      <w:r w:rsidRPr="00431059">
        <w:t xml:space="preserve">The </w:t>
      </w:r>
      <w:r w:rsidR="00DE506D" w:rsidRPr="00431059">
        <w:t>Agency</w:t>
      </w:r>
      <w:r w:rsidRPr="00431059">
        <w:t xml:space="preserve"> Delivery Order Number</w:t>
      </w:r>
    </w:p>
    <w:p w:rsidR="00B9601E" w:rsidRDefault="00B9601E" w:rsidP="001368C6">
      <w:pPr>
        <w:numPr>
          <w:ilvl w:val="0"/>
          <w:numId w:val="9"/>
        </w:numPr>
        <w:tabs>
          <w:tab w:val="left" w:pos="360"/>
        </w:tabs>
      </w:pPr>
      <w:r w:rsidRPr="00431059">
        <w:t xml:space="preserve">The </w:t>
      </w:r>
      <w:r w:rsidR="00640C14">
        <w:t>CIO-CS</w:t>
      </w:r>
      <w:r w:rsidR="001B7481" w:rsidRPr="00431059">
        <w:t xml:space="preserve"> Delivery Order</w:t>
      </w:r>
      <w:r w:rsidR="001B7481">
        <w:t xml:space="preserve"> Tracking Number</w:t>
      </w:r>
      <w:r>
        <w:t xml:space="preserve"> </w:t>
      </w:r>
    </w:p>
    <w:p w:rsidR="00B9601E" w:rsidRDefault="00B9601E" w:rsidP="001368C6">
      <w:pPr>
        <w:numPr>
          <w:ilvl w:val="0"/>
          <w:numId w:val="9"/>
        </w:numPr>
        <w:tabs>
          <w:tab w:val="left" w:pos="360"/>
        </w:tabs>
      </w:pPr>
      <w:r>
        <w:t xml:space="preserve">Description of items contained therein </w:t>
      </w:r>
    </w:p>
    <w:p w:rsidR="00B9601E" w:rsidRDefault="00B9601E" w:rsidP="001368C6">
      <w:pPr>
        <w:numPr>
          <w:ilvl w:val="0"/>
          <w:numId w:val="9"/>
        </w:numPr>
        <w:tabs>
          <w:tab w:val="left" w:pos="360"/>
        </w:tabs>
      </w:pPr>
      <w:r>
        <w:t xml:space="preserve">Consignee(s) name and address </w:t>
      </w:r>
    </w:p>
    <w:p w:rsidR="00B9601E" w:rsidRDefault="00B9601E">
      <w:r>
        <w:t> </w:t>
      </w:r>
    </w:p>
    <w:p w:rsidR="00B9601E" w:rsidRDefault="00B9601E">
      <w:pPr>
        <w:pStyle w:val="Instruction"/>
      </w:pPr>
      <w:r>
        <w:t>State special requirements if they exceed the requirements</w:t>
      </w:r>
      <w:r w:rsidR="00FB41F0">
        <w:t xml:space="preserve"> above</w:t>
      </w:r>
      <w:r>
        <w:t>.</w:t>
      </w:r>
    </w:p>
    <w:p w:rsidR="006E6E58" w:rsidRPr="006E6E58" w:rsidRDefault="006E6E58" w:rsidP="006E6E58">
      <w:pPr>
        <w:pStyle w:val="Instruction"/>
        <w:pBdr>
          <w:top w:val="none" w:sz="0" w:space="0" w:color="auto"/>
          <w:left w:val="none" w:sz="0" w:space="0" w:color="auto"/>
          <w:bottom w:val="none" w:sz="0" w:space="0" w:color="auto"/>
          <w:right w:val="none" w:sz="0" w:space="0" w:color="auto"/>
        </w:pBdr>
        <w:spacing w:before="100" w:after="100"/>
        <w:rPr>
          <w:i w:val="0"/>
        </w:rPr>
      </w:pPr>
    </w:p>
    <w:p w:rsidR="00B9601E" w:rsidRDefault="00B9601E">
      <w:pPr>
        <w:pStyle w:val="Heading1"/>
      </w:pPr>
      <w:r>
        <w:t>Inspection and Acceptance Criteria</w:t>
      </w:r>
    </w:p>
    <w:p w:rsidR="00DE506D" w:rsidRDefault="00DE506D" w:rsidP="00DE506D">
      <w:pPr>
        <w:pStyle w:val="Instruction"/>
        <w:jc w:val="both"/>
      </w:pPr>
      <w:r>
        <w:t>At a minimum, the SOW should specify a final inspection and acceptance of all work performed, reports and other deliverables will be performed at the place of delivery. State special requirements if they exceed the contract requirement.</w:t>
      </w:r>
    </w:p>
    <w:p w:rsidR="00DE506D" w:rsidRPr="00DE506D" w:rsidRDefault="00DE506D" w:rsidP="009351DD">
      <w:pPr>
        <w:autoSpaceDE w:val="0"/>
        <w:autoSpaceDN w:val="0"/>
        <w:adjustRightInd w:val="0"/>
      </w:pPr>
    </w:p>
    <w:p w:rsidR="001F2ACE" w:rsidRDefault="001F2ACE">
      <w:pPr>
        <w:pStyle w:val="Heading1"/>
      </w:pPr>
      <w:r>
        <w:t>Accounting and Appropriation Data and Invoicing</w:t>
      </w:r>
    </w:p>
    <w:p w:rsidR="00FB41F0" w:rsidRDefault="00FB41F0" w:rsidP="00FB41F0">
      <w:pPr>
        <w:pStyle w:val="Instruction"/>
        <w:jc w:val="both"/>
      </w:pPr>
      <w:r>
        <w:t xml:space="preserve">A statement must be made that funds are available for this </w:t>
      </w:r>
      <w:r w:rsidR="00F44FD0">
        <w:t>delivery</w:t>
      </w:r>
      <w:r>
        <w:t xml:space="preserve"> order or will become available prior to award.  If funds are to be provided from the next fiscal year</w:t>
      </w:r>
      <w:r w:rsidR="00F44FD0">
        <w:t>,</w:t>
      </w:r>
      <w:r>
        <w:t xml:space="preserve"> a statement that the delivery order is subject to availability of funds must be made in the delivery order request.</w:t>
      </w:r>
    </w:p>
    <w:p w:rsidR="00FB41F0" w:rsidRDefault="00FB41F0" w:rsidP="001F2ACE">
      <w:pPr>
        <w:autoSpaceDE w:val="0"/>
        <w:autoSpaceDN w:val="0"/>
        <w:adjustRightInd w:val="0"/>
        <w:rPr>
          <w:rFonts w:cs="Arial"/>
          <w:color w:val="000000"/>
          <w:szCs w:val="20"/>
        </w:rPr>
      </w:pPr>
    </w:p>
    <w:p w:rsidR="00B9601E" w:rsidRDefault="00B9601E">
      <w:pPr>
        <w:pStyle w:val="Heading1"/>
      </w:pPr>
      <w:r>
        <w:t>Other Pertinent Information or Special Considerations</w:t>
      </w:r>
    </w:p>
    <w:p w:rsidR="00B9601E" w:rsidRDefault="00B9601E" w:rsidP="00C05D0D">
      <w:pPr>
        <w:pStyle w:val="Instruction"/>
        <w:jc w:val="both"/>
      </w:pPr>
      <w:r>
        <w:t xml:space="preserve">Include any special considerations or unique requirements necessary to accomplish the </w:t>
      </w:r>
      <w:r w:rsidR="00047F0E">
        <w:t>delivery</w:t>
      </w:r>
      <w:r>
        <w:t xml:space="preserve"> order and/or any additional information that will be helpful in determining reasonable approaches and cost estimates for the </w:t>
      </w:r>
      <w:r w:rsidR="00047F0E">
        <w:t>delivery</w:t>
      </w:r>
      <w:r w:rsidR="00C05D0D">
        <w:t xml:space="preserve"> order.</w:t>
      </w:r>
    </w:p>
    <w:p w:rsidR="002711BC" w:rsidRPr="00DE5851" w:rsidRDefault="002711BC" w:rsidP="002711BC">
      <w:pPr>
        <w:pStyle w:val="Instruction"/>
        <w:pBdr>
          <w:top w:val="none" w:sz="0" w:space="0" w:color="auto"/>
          <w:left w:val="none" w:sz="0" w:space="0" w:color="auto"/>
          <w:bottom w:val="none" w:sz="0" w:space="0" w:color="auto"/>
          <w:right w:val="none" w:sz="0" w:space="0" w:color="auto"/>
        </w:pBdr>
        <w:spacing w:after="120"/>
        <w:jc w:val="both"/>
        <w:rPr>
          <w:i w:val="0"/>
          <w:szCs w:val="20"/>
        </w:rPr>
      </w:pPr>
    </w:p>
    <w:p w:rsidR="00B9601E" w:rsidRDefault="00B9601E">
      <w:pPr>
        <w:pStyle w:val="Heading1"/>
      </w:pPr>
      <w:r>
        <w:t>Post-Award Administration</w:t>
      </w:r>
    </w:p>
    <w:p w:rsidR="00DE506D" w:rsidRDefault="00DE506D" w:rsidP="00DE506D">
      <w:pPr>
        <w:pStyle w:val="Instruction"/>
        <w:jc w:val="both"/>
      </w:pPr>
      <w:r>
        <w:t xml:space="preserve">Discuss monitoring and milestones to be used for evaluation of Prime Contractors performance.  Discuss any formal management systems to be used to monitor the Prime Contractor.  </w:t>
      </w:r>
    </w:p>
    <w:p w:rsidR="0067327A" w:rsidRPr="00DE506D" w:rsidRDefault="0067327A" w:rsidP="00DE506D">
      <w:pPr>
        <w:pStyle w:val="Body"/>
      </w:pPr>
    </w:p>
    <w:p w:rsidR="00B9601E" w:rsidRDefault="00B9601E">
      <w:pPr>
        <w:pStyle w:val="Heading1"/>
      </w:pPr>
      <w:r>
        <w:t>Evaluation Criteria</w:t>
      </w:r>
    </w:p>
    <w:p w:rsidR="00B9601E" w:rsidRDefault="00B9601E">
      <w:pPr>
        <w:pStyle w:val="Instruction"/>
        <w:jc w:val="both"/>
      </w:pPr>
      <w:r>
        <w:t>List the evaluation criteria for this SOW.  At a minimum the criteria must be listed AND DESCRIBE</w:t>
      </w:r>
      <w:r w:rsidR="00A05813">
        <w:t xml:space="preserve">D. </w:t>
      </w:r>
      <w:r>
        <w:t xml:space="preserve"> </w:t>
      </w:r>
      <w:r w:rsidR="00A05813">
        <w:t>For example</w:t>
      </w:r>
      <w:r>
        <w:t>: </w:t>
      </w:r>
    </w:p>
    <w:p w:rsidR="00B9601E" w:rsidRDefault="00B9601E" w:rsidP="001368C6">
      <w:pPr>
        <w:pStyle w:val="Instruction"/>
        <w:numPr>
          <w:ilvl w:val="0"/>
          <w:numId w:val="3"/>
        </w:numPr>
        <w:spacing w:after="120"/>
        <w:rPr>
          <w:i w:val="0"/>
          <w:iCs/>
        </w:rPr>
      </w:pPr>
      <w:r>
        <w:rPr>
          <w:i w:val="0"/>
          <w:iCs/>
        </w:rPr>
        <w:t>Past Performance</w:t>
      </w:r>
    </w:p>
    <w:p w:rsidR="000D74C4" w:rsidRDefault="00B9601E" w:rsidP="001368C6">
      <w:pPr>
        <w:pStyle w:val="Instruction"/>
        <w:numPr>
          <w:ilvl w:val="0"/>
          <w:numId w:val="3"/>
        </w:numPr>
        <w:spacing w:after="120"/>
        <w:rPr>
          <w:i w:val="0"/>
          <w:iCs/>
        </w:rPr>
      </w:pPr>
      <w:r>
        <w:rPr>
          <w:i w:val="0"/>
          <w:iCs/>
        </w:rPr>
        <w:t>Technical</w:t>
      </w:r>
      <w:r w:rsidR="00AB5D27">
        <w:rPr>
          <w:i w:val="0"/>
          <w:iCs/>
        </w:rPr>
        <w:t xml:space="preserve"> Solution</w:t>
      </w:r>
      <w:r>
        <w:rPr>
          <w:i w:val="0"/>
          <w:iCs/>
        </w:rPr>
        <w:t>/Management Approach</w:t>
      </w:r>
      <w:r w:rsidR="000D74C4">
        <w:rPr>
          <w:i w:val="0"/>
          <w:iCs/>
        </w:rPr>
        <w:t xml:space="preserve"> </w:t>
      </w:r>
    </w:p>
    <w:p w:rsidR="00B9601E" w:rsidRDefault="000D74C4" w:rsidP="001368C6">
      <w:pPr>
        <w:pStyle w:val="Instruction"/>
        <w:numPr>
          <w:ilvl w:val="0"/>
          <w:numId w:val="3"/>
        </w:numPr>
        <w:spacing w:after="120"/>
        <w:rPr>
          <w:i w:val="0"/>
          <w:iCs/>
        </w:rPr>
      </w:pPr>
      <w:r>
        <w:rPr>
          <w:i w:val="0"/>
          <w:iCs/>
        </w:rPr>
        <w:t>Quality Assurance</w:t>
      </w:r>
    </w:p>
    <w:p w:rsidR="00B9601E" w:rsidRDefault="00B9601E" w:rsidP="001368C6">
      <w:pPr>
        <w:pStyle w:val="Instruction"/>
        <w:numPr>
          <w:ilvl w:val="0"/>
          <w:numId w:val="3"/>
        </w:numPr>
        <w:spacing w:after="120"/>
        <w:rPr>
          <w:i w:val="0"/>
          <w:iCs/>
        </w:rPr>
      </w:pPr>
      <w:r>
        <w:rPr>
          <w:i w:val="0"/>
          <w:iCs/>
        </w:rPr>
        <w:t>Cost/Price</w:t>
      </w:r>
      <w:r w:rsidR="00FF7667">
        <w:rPr>
          <w:i w:val="0"/>
          <w:iCs/>
        </w:rPr>
        <w:t>/Best Value</w:t>
      </w:r>
      <w:r>
        <w:rPr>
          <w:i w:val="0"/>
          <w:iCs/>
        </w:rPr>
        <w:t xml:space="preserve"> </w:t>
      </w:r>
    </w:p>
    <w:p w:rsidR="00B9601E" w:rsidRDefault="00A05813">
      <w:pPr>
        <w:pStyle w:val="Instruction"/>
        <w:jc w:val="both"/>
      </w:pPr>
      <w:r>
        <w:t>If the award will be made solely on cost, this can be simply stated.  Otherwise, a</w:t>
      </w:r>
      <w:r w:rsidR="00B9601E">
        <w:t xml:space="preserve"> statement must be made regarding the relative importance of each evaluation criterion.  This may be accomplished though the use of an adjective description or the assignment of weights, at the discretion of the customer.</w:t>
      </w:r>
    </w:p>
    <w:p w:rsidR="009619B0" w:rsidRDefault="009619B0" w:rsidP="009619B0"/>
    <w:p w:rsidR="009619B0" w:rsidRDefault="009619B0" w:rsidP="009619B0"/>
    <w:p w:rsidR="00BC12A7" w:rsidRDefault="00BC12A7" w:rsidP="009619B0"/>
    <w:p w:rsidR="00BC12A7" w:rsidRDefault="00BC12A7" w:rsidP="009619B0"/>
    <w:p w:rsidR="00BC12A7" w:rsidRDefault="00BC12A7" w:rsidP="009619B0"/>
    <w:sectPr w:rsidR="00BC12A7" w:rsidSect="00C932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21" w:rsidRDefault="009F5921">
      <w:r>
        <w:separator/>
      </w:r>
    </w:p>
  </w:endnote>
  <w:endnote w:type="continuationSeparator" w:id="0">
    <w:p w:rsidR="009F5921" w:rsidRDefault="009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12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6B" w:rsidRDefault="00A14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F6B" w:rsidRDefault="00A14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6B" w:rsidRPr="00171DE3" w:rsidRDefault="00A14F6B" w:rsidP="00A02698">
    <w:pPr>
      <w:pStyle w:val="Footer"/>
      <w:tabs>
        <w:tab w:val="clear" w:pos="8640"/>
        <w:tab w:val="right" w:pos="9360"/>
      </w:tabs>
    </w:pPr>
    <w:r w:rsidRPr="00171DE3">
      <w:t>NITAAC</w:t>
    </w:r>
    <w:r w:rsidRPr="00171DE3">
      <w:tab/>
    </w:r>
    <w:r w:rsidRPr="00171DE3">
      <w:rPr>
        <w:rStyle w:val="PageNumber"/>
      </w:rPr>
      <w:fldChar w:fldCharType="begin"/>
    </w:r>
    <w:r w:rsidRPr="00171DE3">
      <w:rPr>
        <w:rStyle w:val="PageNumber"/>
      </w:rPr>
      <w:instrText xml:space="preserve"> PAGE </w:instrText>
    </w:r>
    <w:r w:rsidRPr="00171DE3">
      <w:rPr>
        <w:rStyle w:val="PageNumber"/>
      </w:rPr>
      <w:fldChar w:fldCharType="separate"/>
    </w:r>
    <w:r w:rsidR="00D1479F">
      <w:rPr>
        <w:rStyle w:val="PageNumber"/>
        <w:noProof/>
      </w:rPr>
      <w:t>2</w:t>
    </w:r>
    <w:r w:rsidRPr="00171DE3">
      <w:rPr>
        <w:rStyle w:val="PageNumber"/>
      </w:rPr>
      <w:fldChar w:fldCharType="end"/>
    </w:r>
    <w:r w:rsidRPr="00171DE3">
      <w:rPr>
        <w:rStyle w:val="PageNumber"/>
      </w:rPr>
      <w:t xml:space="preserve"> of </w:t>
    </w:r>
    <w:r w:rsidRPr="00171DE3">
      <w:rPr>
        <w:rStyle w:val="PageNumber"/>
      </w:rPr>
      <w:fldChar w:fldCharType="begin"/>
    </w:r>
    <w:r w:rsidRPr="00171DE3">
      <w:rPr>
        <w:rStyle w:val="PageNumber"/>
      </w:rPr>
      <w:instrText xml:space="preserve"> NUMPAGES </w:instrText>
    </w:r>
    <w:r w:rsidRPr="00171DE3">
      <w:rPr>
        <w:rStyle w:val="PageNumber"/>
      </w:rPr>
      <w:fldChar w:fldCharType="separate"/>
    </w:r>
    <w:r w:rsidR="00D1479F">
      <w:rPr>
        <w:rStyle w:val="PageNumber"/>
        <w:noProof/>
      </w:rPr>
      <w:t>4</w:t>
    </w:r>
    <w:r w:rsidRPr="00171DE3">
      <w:rPr>
        <w:rStyle w:val="PageNumber"/>
      </w:rPr>
      <w:fldChar w:fldCharType="end"/>
    </w:r>
    <w:r w:rsidRPr="00171DE3">
      <w:rPr>
        <w:rStyle w:val="PageNumber"/>
      </w:rPr>
      <w:tab/>
    </w:r>
    <w:r>
      <w:rPr>
        <w:rStyle w:val="PageNumber"/>
      </w:rPr>
      <w:fldChar w:fldCharType="begin"/>
    </w:r>
    <w:r>
      <w:rPr>
        <w:rStyle w:val="PageNumber"/>
      </w:rPr>
      <w:instrText xml:space="preserve"> FILENAME   \* MERGEFORMAT </w:instrText>
    </w:r>
    <w:r>
      <w:rPr>
        <w:rStyle w:val="PageNumber"/>
      </w:rPr>
      <w:fldChar w:fldCharType="separate"/>
    </w:r>
    <w:r w:rsidR="00640C14">
      <w:rPr>
        <w:rStyle w:val="PageNumber"/>
        <w:noProof/>
      </w:rPr>
      <w:t>CIO_CS</w:t>
    </w:r>
    <w:r w:rsidR="006A47AC">
      <w:rPr>
        <w:rStyle w:val="PageNumber"/>
        <w:noProof/>
      </w:rPr>
      <w:t>_SOW_Template_08022011.doc</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6B" w:rsidRPr="00171DE3" w:rsidRDefault="00A14F6B">
    <w:pPr>
      <w:pStyle w:val="Footer"/>
    </w:pPr>
    <w:r w:rsidRPr="00171DE3">
      <w:t>NITAAC</w:t>
    </w:r>
    <w:r w:rsidRPr="00171DE3">
      <w:tab/>
    </w:r>
    <w:r w:rsidRPr="00171DE3">
      <w:rPr>
        <w:rStyle w:val="PageNumber"/>
      </w:rPr>
      <w:fldChar w:fldCharType="begin"/>
    </w:r>
    <w:r w:rsidRPr="00171DE3">
      <w:rPr>
        <w:rStyle w:val="PageNumber"/>
      </w:rPr>
      <w:instrText xml:space="preserve"> PAGE </w:instrText>
    </w:r>
    <w:r w:rsidRPr="00171DE3">
      <w:rPr>
        <w:rStyle w:val="PageNumber"/>
      </w:rPr>
      <w:fldChar w:fldCharType="separate"/>
    </w:r>
    <w:r>
      <w:rPr>
        <w:rStyle w:val="PageNumber"/>
        <w:noProof/>
      </w:rPr>
      <w:t>13</w:t>
    </w:r>
    <w:r w:rsidRPr="00171DE3">
      <w:rPr>
        <w:rStyle w:val="PageNumber"/>
      </w:rPr>
      <w:fldChar w:fldCharType="end"/>
    </w:r>
    <w:r w:rsidRPr="00171DE3">
      <w:rPr>
        <w:rStyle w:val="PageNumber"/>
      </w:rPr>
      <w:t xml:space="preserve"> of </w:t>
    </w:r>
    <w:r w:rsidRPr="00171DE3">
      <w:rPr>
        <w:rStyle w:val="PageNumber"/>
      </w:rPr>
      <w:fldChar w:fldCharType="begin"/>
    </w:r>
    <w:r w:rsidRPr="00171DE3">
      <w:rPr>
        <w:rStyle w:val="PageNumber"/>
      </w:rPr>
      <w:instrText xml:space="preserve"> NUMPAGES </w:instrText>
    </w:r>
    <w:r w:rsidRPr="00171DE3">
      <w:rPr>
        <w:rStyle w:val="PageNumber"/>
      </w:rPr>
      <w:fldChar w:fldCharType="separate"/>
    </w:r>
    <w:r w:rsidR="006A47AC">
      <w:rPr>
        <w:rStyle w:val="PageNumber"/>
        <w:noProof/>
      </w:rPr>
      <w:t>4</w:t>
    </w:r>
    <w:r w:rsidRPr="00171DE3">
      <w:rPr>
        <w:rStyle w:val="PageNumber"/>
      </w:rPr>
      <w:fldChar w:fldCharType="end"/>
    </w:r>
    <w:r w:rsidRPr="00171DE3">
      <w:rPr>
        <w:rStyle w:val="PageNumber"/>
      </w:rPr>
      <w:tab/>
      <w:t>CIO-SP2</w:t>
    </w:r>
    <w:r w:rsidRPr="00171DE3">
      <w:rPr>
        <w:rStyle w:val="PageNumber"/>
        <w:i/>
      </w:rPr>
      <w:t>i</w:t>
    </w:r>
    <w:r w:rsidRPr="00171DE3">
      <w:rPr>
        <w:rStyle w:val="PageNumber"/>
      </w:rPr>
      <w:t xml:space="preserve"> SOW Template</w:t>
    </w:r>
    <w:r>
      <w:rPr>
        <w:rStyle w:val="PageNumber"/>
      </w:rPr>
      <w:t xml:space="preserve"> Mar. 3,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21" w:rsidRDefault="009F5921">
      <w:r>
        <w:separator/>
      </w:r>
    </w:p>
  </w:footnote>
  <w:footnote w:type="continuationSeparator" w:id="0">
    <w:p w:rsidR="009F5921" w:rsidRDefault="009F5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14" w:rsidRDefault="00640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6B" w:rsidRDefault="00D1479F">
    <w:pPr>
      <w:pStyle w:val="Header"/>
      <w:jc w:val="right"/>
    </w:pPr>
    <w:r>
      <w:rPr>
        <w:rFonts w:cs="Arial"/>
        <w:noProof/>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-9525</wp:posOffset>
          </wp:positionV>
          <wp:extent cx="123825" cy="152400"/>
          <wp:effectExtent l="0" t="0" r="0" b="0"/>
          <wp:wrapNone/>
          <wp:docPr id="1" name="Picture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F6B">
      <w:rPr>
        <w:rStyle w:val="PageNumber"/>
        <w:rFonts w:cs="Arial"/>
      </w:rPr>
      <w:fldChar w:fldCharType="begin"/>
    </w:r>
    <w:r w:rsidR="00A14F6B">
      <w:rPr>
        <w:rStyle w:val="PageNumber"/>
        <w:rFonts w:cs="Arial"/>
      </w:rPr>
      <w:instrText xml:space="preserve"> PAGE </w:instrText>
    </w:r>
    <w:r w:rsidR="00A14F6B">
      <w:rPr>
        <w:rStyle w:val="PageNumber"/>
        <w:rFonts w:cs="Arial"/>
      </w:rPr>
      <w:fldChar w:fldCharType="separate"/>
    </w:r>
    <w:r>
      <w:rPr>
        <w:rStyle w:val="PageNumber"/>
        <w:rFonts w:cs="Arial"/>
        <w:noProof/>
      </w:rPr>
      <w:t>2</w:t>
    </w:r>
    <w:r w:rsidR="00A14F6B">
      <w:rPr>
        <w:rStyle w:val="PageNumber"/>
        <w:rFonts w:cs="Arial"/>
      </w:rPr>
      <w:fldChar w:fldCharType="end"/>
    </w:r>
  </w:p>
  <w:p w:rsidR="00A14F6B" w:rsidRDefault="00A14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14" w:rsidRDefault="00640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8E5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7D6251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5080823"/>
    <w:multiLevelType w:val="multilevel"/>
    <w:tmpl w:val="3C6679F8"/>
    <w:lvl w:ilvl="0">
      <w:start w:val="1"/>
      <w:numFmt w:val="upperLetter"/>
      <w:pStyle w:val="AppendixHeading1"/>
      <w:suff w:val="space"/>
      <w:lvlText w:val="APPENDIX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3240"/>
        </w:tabs>
        <w:ind w:left="1008" w:firstLine="1152"/>
      </w:pPr>
      <w:rPr>
        <w:rFonts w:hint="default"/>
      </w:rPr>
    </w:lvl>
    <w:lvl w:ilvl="5">
      <w:start w:val="1"/>
      <w:numFmt w:val="decimal"/>
      <w:lvlText w:val="%1.%2.%3.%4.%5.%6"/>
      <w:lvlJc w:val="left"/>
      <w:pPr>
        <w:tabs>
          <w:tab w:val="num" w:pos="4320"/>
        </w:tabs>
        <w:ind w:left="1152" w:firstLine="1728"/>
      </w:pPr>
      <w:rPr>
        <w:rFonts w:hint="default"/>
      </w:rPr>
    </w:lvl>
    <w:lvl w:ilvl="6">
      <w:start w:val="1"/>
      <w:numFmt w:val="decimal"/>
      <w:lvlText w:val="%1.%2.%3.%4.%5.%6.%7"/>
      <w:lvlJc w:val="left"/>
      <w:pPr>
        <w:tabs>
          <w:tab w:val="num" w:pos="5040"/>
        </w:tabs>
        <w:ind w:left="1296" w:firstLine="2304"/>
      </w:pPr>
      <w:rPr>
        <w:rFonts w:hint="default"/>
      </w:rPr>
    </w:lvl>
    <w:lvl w:ilvl="7">
      <w:start w:val="1"/>
      <w:numFmt w:val="decimal"/>
      <w:lvlText w:val="%1.%2.%3.%4.%5.%6.%7.%8"/>
      <w:lvlJc w:val="left"/>
      <w:pPr>
        <w:tabs>
          <w:tab w:val="num" w:pos="5760"/>
        </w:tabs>
        <w:ind w:left="1440" w:firstLine="288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82A43DA"/>
    <w:multiLevelType w:val="hybridMultilevel"/>
    <w:tmpl w:val="B40A7978"/>
    <w:lvl w:ilvl="0" w:tplc="04090017">
      <w:start w:val="1"/>
      <w:numFmt w:val="lowerLetter"/>
      <w:lvlText w:val="%1)"/>
      <w:lvlJc w:val="left"/>
      <w:pPr>
        <w:ind w:left="720" w:hanging="360"/>
      </w:pPr>
      <w:rPr>
        <w:rFonts w:hint="default"/>
      </w:rPr>
    </w:lvl>
    <w:lvl w:ilvl="1" w:tplc="6C14CD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71C76"/>
    <w:multiLevelType w:val="hybridMultilevel"/>
    <w:tmpl w:val="946C7802"/>
    <w:lvl w:ilvl="0" w:tplc="5562FD2C">
      <w:start w:val="1"/>
      <w:numFmt w:val="bullet"/>
      <w:pStyle w:val="TableCellBullet"/>
      <w:lvlText w:val=""/>
      <w:lvlJc w:val="left"/>
      <w:pPr>
        <w:tabs>
          <w:tab w:val="num" w:pos="792"/>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1E1C5085"/>
    <w:multiLevelType w:val="hybridMultilevel"/>
    <w:tmpl w:val="751403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E7F83"/>
    <w:multiLevelType w:val="multilevel"/>
    <w:tmpl w:val="0374B1C6"/>
    <w:lvl w:ilvl="0">
      <w:start w:val="1"/>
      <w:numFmt w:val="decimal"/>
      <w:pStyle w:val="Heading1"/>
      <w:suff w:val="nothing"/>
      <w:lvlText w:val="%1.  "/>
      <w:lvlJc w:val="left"/>
      <w:pPr>
        <w:ind w:left="0" w:firstLine="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62F0F21"/>
    <w:multiLevelType w:val="multilevel"/>
    <w:tmpl w:val="7CAE8806"/>
    <w:lvl w:ilvl="0">
      <w:start w:val="1"/>
      <w:numFmt w:val="decimal"/>
      <w:suff w:val="nothing"/>
      <w:lvlText w:val="%1.  "/>
      <w:lvlJc w:val="left"/>
      <w:pPr>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15F49ED"/>
    <w:multiLevelType w:val="hybridMultilevel"/>
    <w:tmpl w:val="B4722540"/>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42D1114E"/>
    <w:multiLevelType w:val="multilevel"/>
    <w:tmpl w:val="64A0B6C6"/>
    <w:lvl w:ilvl="0">
      <w:start w:val="1"/>
      <w:numFmt w:val="decimal"/>
      <w:pStyle w:val="TableTitle"/>
      <w:suff w:val="space"/>
      <w:lvlText w:val="Table %1. "/>
      <w:lvlJc w:val="center"/>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46506AF"/>
    <w:multiLevelType w:val="hybridMultilevel"/>
    <w:tmpl w:val="4E86EF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A9427F"/>
    <w:multiLevelType w:val="hybridMultilevel"/>
    <w:tmpl w:val="0B0E5ACA"/>
    <w:lvl w:ilvl="0" w:tplc="2A962E98">
      <w:start w:val="1"/>
      <w:numFmt w:val="decimal"/>
      <w:lvlText w:val="%1."/>
      <w:lvlJc w:val="left"/>
      <w:pPr>
        <w:ind w:left="720" w:hanging="39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5A181647"/>
    <w:multiLevelType w:val="hybridMultilevel"/>
    <w:tmpl w:val="97D4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700BA"/>
    <w:multiLevelType w:val="hybridMultilevel"/>
    <w:tmpl w:val="3F7CE0EC"/>
    <w:lvl w:ilvl="0" w:tplc="2A962E98">
      <w:start w:val="1"/>
      <w:numFmt w:val="decimal"/>
      <w:lvlText w:val="%1."/>
      <w:lvlJc w:val="left"/>
      <w:pPr>
        <w:ind w:left="750" w:hanging="39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798D7938"/>
    <w:multiLevelType w:val="hybridMultilevel"/>
    <w:tmpl w:val="35A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70ABA"/>
    <w:multiLevelType w:val="hybridMultilevel"/>
    <w:tmpl w:val="7D10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6"/>
  </w:num>
  <w:num w:numId="6">
    <w:abstractNumId w:val="1"/>
  </w:num>
  <w:num w:numId="7">
    <w:abstractNumId w:val="9"/>
  </w:num>
  <w:num w:numId="8">
    <w:abstractNumId w:val="11"/>
  </w:num>
  <w:num w:numId="9">
    <w:abstractNumId w:val="13"/>
  </w:num>
  <w:num w:numId="10">
    <w:abstractNumId w:val="5"/>
  </w:num>
  <w:num w:numId="11">
    <w:abstractNumId w:val="3"/>
  </w:num>
  <w:num w:numId="12">
    <w:abstractNumId w:val="12"/>
  </w:num>
  <w:num w:numId="13">
    <w:abstractNumId w:val="15"/>
  </w:num>
  <w:num w:numId="14">
    <w:abstractNumId w:val="14"/>
  </w:num>
  <w:num w:numId="15">
    <w:abstractNumId w:val="10"/>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03"/>
    <w:rsid w:val="00000CDD"/>
    <w:rsid w:val="0000572C"/>
    <w:rsid w:val="000115B5"/>
    <w:rsid w:val="00011B9C"/>
    <w:rsid w:val="000139A0"/>
    <w:rsid w:val="0001562F"/>
    <w:rsid w:val="0002282E"/>
    <w:rsid w:val="0003234A"/>
    <w:rsid w:val="00041687"/>
    <w:rsid w:val="000432C7"/>
    <w:rsid w:val="000455D1"/>
    <w:rsid w:val="00047F0E"/>
    <w:rsid w:val="00050B5E"/>
    <w:rsid w:val="000648E5"/>
    <w:rsid w:val="00074BFC"/>
    <w:rsid w:val="00080882"/>
    <w:rsid w:val="00083D27"/>
    <w:rsid w:val="0009193D"/>
    <w:rsid w:val="000A20BA"/>
    <w:rsid w:val="000C168B"/>
    <w:rsid w:val="000C6476"/>
    <w:rsid w:val="000C7B2F"/>
    <w:rsid w:val="000D74C4"/>
    <w:rsid w:val="000E3B80"/>
    <w:rsid w:val="000E5CC6"/>
    <w:rsid w:val="00100EFF"/>
    <w:rsid w:val="001023FC"/>
    <w:rsid w:val="00104849"/>
    <w:rsid w:val="00116CC8"/>
    <w:rsid w:val="00133DE5"/>
    <w:rsid w:val="001368C6"/>
    <w:rsid w:val="001434C6"/>
    <w:rsid w:val="00144D1B"/>
    <w:rsid w:val="0014537F"/>
    <w:rsid w:val="001544D0"/>
    <w:rsid w:val="00160195"/>
    <w:rsid w:val="001607F4"/>
    <w:rsid w:val="00161D77"/>
    <w:rsid w:val="001701FA"/>
    <w:rsid w:val="00171DE3"/>
    <w:rsid w:val="00183179"/>
    <w:rsid w:val="00193488"/>
    <w:rsid w:val="001A0337"/>
    <w:rsid w:val="001A1AF9"/>
    <w:rsid w:val="001A3536"/>
    <w:rsid w:val="001A361B"/>
    <w:rsid w:val="001B7481"/>
    <w:rsid w:val="001C6F8B"/>
    <w:rsid w:val="001C7C12"/>
    <w:rsid w:val="001D5A22"/>
    <w:rsid w:val="001D7EF5"/>
    <w:rsid w:val="001E0798"/>
    <w:rsid w:val="001E2A7A"/>
    <w:rsid w:val="001E558E"/>
    <w:rsid w:val="001E7619"/>
    <w:rsid w:val="001F2ACE"/>
    <w:rsid w:val="001F7EE3"/>
    <w:rsid w:val="00202BE6"/>
    <w:rsid w:val="00204DC4"/>
    <w:rsid w:val="002066D1"/>
    <w:rsid w:val="00210C5F"/>
    <w:rsid w:val="0021147A"/>
    <w:rsid w:val="00212ED4"/>
    <w:rsid w:val="00216E9A"/>
    <w:rsid w:val="00217A0C"/>
    <w:rsid w:val="00245A75"/>
    <w:rsid w:val="00265003"/>
    <w:rsid w:val="002653C7"/>
    <w:rsid w:val="002711BC"/>
    <w:rsid w:val="00272DE7"/>
    <w:rsid w:val="00275CC1"/>
    <w:rsid w:val="0028693C"/>
    <w:rsid w:val="00292FBF"/>
    <w:rsid w:val="00295D8F"/>
    <w:rsid w:val="002973C6"/>
    <w:rsid w:val="002A31B2"/>
    <w:rsid w:val="002A4E5E"/>
    <w:rsid w:val="002A7D61"/>
    <w:rsid w:val="002B20F2"/>
    <w:rsid w:val="002B2DA9"/>
    <w:rsid w:val="002B654F"/>
    <w:rsid w:val="002C25F8"/>
    <w:rsid w:val="002C2953"/>
    <w:rsid w:val="002C5EAA"/>
    <w:rsid w:val="002D58E7"/>
    <w:rsid w:val="002E1F02"/>
    <w:rsid w:val="002E2E46"/>
    <w:rsid w:val="002E6D85"/>
    <w:rsid w:val="002E7F84"/>
    <w:rsid w:val="002F0A6E"/>
    <w:rsid w:val="002F54CD"/>
    <w:rsid w:val="00305FB1"/>
    <w:rsid w:val="003117E2"/>
    <w:rsid w:val="00317BF0"/>
    <w:rsid w:val="00320EF8"/>
    <w:rsid w:val="00327CDC"/>
    <w:rsid w:val="00332BB5"/>
    <w:rsid w:val="00332F76"/>
    <w:rsid w:val="00334D6A"/>
    <w:rsid w:val="00336649"/>
    <w:rsid w:val="00337FC0"/>
    <w:rsid w:val="00341030"/>
    <w:rsid w:val="003476A9"/>
    <w:rsid w:val="00360E3F"/>
    <w:rsid w:val="0036409E"/>
    <w:rsid w:val="0036767F"/>
    <w:rsid w:val="00367C2A"/>
    <w:rsid w:val="003779EC"/>
    <w:rsid w:val="00381292"/>
    <w:rsid w:val="00384C89"/>
    <w:rsid w:val="00397D6A"/>
    <w:rsid w:val="003B0EFE"/>
    <w:rsid w:val="003C1775"/>
    <w:rsid w:val="003C37D7"/>
    <w:rsid w:val="003C690A"/>
    <w:rsid w:val="003D1EC8"/>
    <w:rsid w:val="003D2F6C"/>
    <w:rsid w:val="003D3830"/>
    <w:rsid w:val="003E0D69"/>
    <w:rsid w:val="003E57DB"/>
    <w:rsid w:val="003E7435"/>
    <w:rsid w:val="004048EB"/>
    <w:rsid w:val="00415D87"/>
    <w:rsid w:val="00417070"/>
    <w:rsid w:val="004205E1"/>
    <w:rsid w:val="0042536A"/>
    <w:rsid w:val="00431059"/>
    <w:rsid w:val="00431B8C"/>
    <w:rsid w:val="00442DE3"/>
    <w:rsid w:val="0044307F"/>
    <w:rsid w:val="00450CE3"/>
    <w:rsid w:val="00463E87"/>
    <w:rsid w:val="004668B6"/>
    <w:rsid w:val="004668FD"/>
    <w:rsid w:val="00472034"/>
    <w:rsid w:val="0047375C"/>
    <w:rsid w:val="004819F5"/>
    <w:rsid w:val="004941A1"/>
    <w:rsid w:val="0049497D"/>
    <w:rsid w:val="00497167"/>
    <w:rsid w:val="004976A4"/>
    <w:rsid w:val="004A3BB3"/>
    <w:rsid w:val="004B0FFA"/>
    <w:rsid w:val="004B1489"/>
    <w:rsid w:val="004B4516"/>
    <w:rsid w:val="004B5249"/>
    <w:rsid w:val="004B7979"/>
    <w:rsid w:val="004C1390"/>
    <w:rsid w:val="004C2328"/>
    <w:rsid w:val="004D5739"/>
    <w:rsid w:val="004E440F"/>
    <w:rsid w:val="004E5ECD"/>
    <w:rsid w:val="004E619E"/>
    <w:rsid w:val="004F2381"/>
    <w:rsid w:val="004F6A23"/>
    <w:rsid w:val="00504328"/>
    <w:rsid w:val="005044C6"/>
    <w:rsid w:val="005221A4"/>
    <w:rsid w:val="0052596B"/>
    <w:rsid w:val="005515ED"/>
    <w:rsid w:val="00555249"/>
    <w:rsid w:val="00557047"/>
    <w:rsid w:val="00562DA5"/>
    <w:rsid w:val="00562FCB"/>
    <w:rsid w:val="0056718A"/>
    <w:rsid w:val="00570105"/>
    <w:rsid w:val="0057710F"/>
    <w:rsid w:val="005819A0"/>
    <w:rsid w:val="00581ECA"/>
    <w:rsid w:val="00586B34"/>
    <w:rsid w:val="00592CE9"/>
    <w:rsid w:val="00597FCA"/>
    <w:rsid w:val="005A00FB"/>
    <w:rsid w:val="005A3A8F"/>
    <w:rsid w:val="005B137B"/>
    <w:rsid w:val="005B3D47"/>
    <w:rsid w:val="005B72EC"/>
    <w:rsid w:val="005B79B9"/>
    <w:rsid w:val="005D78C2"/>
    <w:rsid w:val="005E4C81"/>
    <w:rsid w:val="005E55B5"/>
    <w:rsid w:val="005F7C1C"/>
    <w:rsid w:val="00600542"/>
    <w:rsid w:val="006103C6"/>
    <w:rsid w:val="00617FA5"/>
    <w:rsid w:val="00621EA1"/>
    <w:rsid w:val="00623717"/>
    <w:rsid w:val="00640C14"/>
    <w:rsid w:val="00644FCC"/>
    <w:rsid w:val="00650BED"/>
    <w:rsid w:val="00656EE6"/>
    <w:rsid w:val="00671CFB"/>
    <w:rsid w:val="0067327A"/>
    <w:rsid w:val="00683994"/>
    <w:rsid w:val="00692F88"/>
    <w:rsid w:val="006963B5"/>
    <w:rsid w:val="006A47AC"/>
    <w:rsid w:val="006A4CC1"/>
    <w:rsid w:val="006A68FF"/>
    <w:rsid w:val="006C3D40"/>
    <w:rsid w:val="006D1B2C"/>
    <w:rsid w:val="006D27FE"/>
    <w:rsid w:val="006E3950"/>
    <w:rsid w:val="006E6E58"/>
    <w:rsid w:val="006F39FD"/>
    <w:rsid w:val="0071585B"/>
    <w:rsid w:val="007232C2"/>
    <w:rsid w:val="0072477C"/>
    <w:rsid w:val="007301FE"/>
    <w:rsid w:val="00730829"/>
    <w:rsid w:val="0073418F"/>
    <w:rsid w:val="00735425"/>
    <w:rsid w:val="00740964"/>
    <w:rsid w:val="00742DF2"/>
    <w:rsid w:val="00744911"/>
    <w:rsid w:val="00752345"/>
    <w:rsid w:val="0075412A"/>
    <w:rsid w:val="0075768C"/>
    <w:rsid w:val="00766144"/>
    <w:rsid w:val="00767D61"/>
    <w:rsid w:val="00773213"/>
    <w:rsid w:val="007750F4"/>
    <w:rsid w:val="00780868"/>
    <w:rsid w:val="007A30BC"/>
    <w:rsid w:val="007B544F"/>
    <w:rsid w:val="007C5703"/>
    <w:rsid w:val="008054D9"/>
    <w:rsid w:val="00805F58"/>
    <w:rsid w:val="00806726"/>
    <w:rsid w:val="00811E8E"/>
    <w:rsid w:val="0081487B"/>
    <w:rsid w:val="00814EEC"/>
    <w:rsid w:val="00821F9A"/>
    <w:rsid w:val="008242FF"/>
    <w:rsid w:val="008275F7"/>
    <w:rsid w:val="00833FE2"/>
    <w:rsid w:val="00834F65"/>
    <w:rsid w:val="00837AE7"/>
    <w:rsid w:val="00840A87"/>
    <w:rsid w:val="008500D3"/>
    <w:rsid w:val="00855C34"/>
    <w:rsid w:val="00864E1A"/>
    <w:rsid w:val="00865265"/>
    <w:rsid w:val="00883F4A"/>
    <w:rsid w:val="008A7306"/>
    <w:rsid w:val="008C769C"/>
    <w:rsid w:val="008D37F6"/>
    <w:rsid w:val="008E4AE8"/>
    <w:rsid w:val="008E752F"/>
    <w:rsid w:val="0090404B"/>
    <w:rsid w:val="00906826"/>
    <w:rsid w:val="00906F40"/>
    <w:rsid w:val="00924910"/>
    <w:rsid w:val="00927329"/>
    <w:rsid w:val="00933243"/>
    <w:rsid w:val="009351DD"/>
    <w:rsid w:val="00935EC1"/>
    <w:rsid w:val="00945FF6"/>
    <w:rsid w:val="00946B1C"/>
    <w:rsid w:val="00955736"/>
    <w:rsid w:val="009619B0"/>
    <w:rsid w:val="00965915"/>
    <w:rsid w:val="009672C7"/>
    <w:rsid w:val="00972946"/>
    <w:rsid w:val="00974E25"/>
    <w:rsid w:val="0098308D"/>
    <w:rsid w:val="009847EB"/>
    <w:rsid w:val="00996F65"/>
    <w:rsid w:val="009A13F1"/>
    <w:rsid w:val="009C3E89"/>
    <w:rsid w:val="009C4AC2"/>
    <w:rsid w:val="009C6189"/>
    <w:rsid w:val="009D4828"/>
    <w:rsid w:val="009E150C"/>
    <w:rsid w:val="009F2D6F"/>
    <w:rsid w:val="009F5921"/>
    <w:rsid w:val="009F5BF0"/>
    <w:rsid w:val="009F67AF"/>
    <w:rsid w:val="00A005E4"/>
    <w:rsid w:val="00A02698"/>
    <w:rsid w:val="00A05813"/>
    <w:rsid w:val="00A118FB"/>
    <w:rsid w:val="00A13A14"/>
    <w:rsid w:val="00A148FF"/>
    <w:rsid w:val="00A14F6B"/>
    <w:rsid w:val="00A21B3E"/>
    <w:rsid w:val="00A30978"/>
    <w:rsid w:val="00A31B91"/>
    <w:rsid w:val="00A33C0D"/>
    <w:rsid w:val="00A536D4"/>
    <w:rsid w:val="00A5625A"/>
    <w:rsid w:val="00A83446"/>
    <w:rsid w:val="00A8605C"/>
    <w:rsid w:val="00A87BF9"/>
    <w:rsid w:val="00A90538"/>
    <w:rsid w:val="00A97675"/>
    <w:rsid w:val="00AA00DA"/>
    <w:rsid w:val="00AA351E"/>
    <w:rsid w:val="00AB5D27"/>
    <w:rsid w:val="00AE5A13"/>
    <w:rsid w:val="00AF33B0"/>
    <w:rsid w:val="00B0524D"/>
    <w:rsid w:val="00B11DA2"/>
    <w:rsid w:val="00B16063"/>
    <w:rsid w:val="00B30CB7"/>
    <w:rsid w:val="00B36560"/>
    <w:rsid w:val="00B41147"/>
    <w:rsid w:val="00B4373C"/>
    <w:rsid w:val="00B468B1"/>
    <w:rsid w:val="00B46A3F"/>
    <w:rsid w:val="00B52BD4"/>
    <w:rsid w:val="00B54680"/>
    <w:rsid w:val="00B66365"/>
    <w:rsid w:val="00B73EEB"/>
    <w:rsid w:val="00B7426F"/>
    <w:rsid w:val="00B7694B"/>
    <w:rsid w:val="00B87BB6"/>
    <w:rsid w:val="00B9601E"/>
    <w:rsid w:val="00B96F2A"/>
    <w:rsid w:val="00BA2331"/>
    <w:rsid w:val="00BA5FD4"/>
    <w:rsid w:val="00BB0574"/>
    <w:rsid w:val="00BB3142"/>
    <w:rsid w:val="00BB3F26"/>
    <w:rsid w:val="00BB6518"/>
    <w:rsid w:val="00BC078C"/>
    <w:rsid w:val="00BC12A7"/>
    <w:rsid w:val="00BC3989"/>
    <w:rsid w:val="00BC420A"/>
    <w:rsid w:val="00BC680C"/>
    <w:rsid w:val="00BD1798"/>
    <w:rsid w:val="00BD1EA8"/>
    <w:rsid w:val="00BD681F"/>
    <w:rsid w:val="00BE36E6"/>
    <w:rsid w:val="00BE44BE"/>
    <w:rsid w:val="00BF12EB"/>
    <w:rsid w:val="00C04273"/>
    <w:rsid w:val="00C05D0D"/>
    <w:rsid w:val="00C1213B"/>
    <w:rsid w:val="00C162E8"/>
    <w:rsid w:val="00C17485"/>
    <w:rsid w:val="00C254B9"/>
    <w:rsid w:val="00C2571C"/>
    <w:rsid w:val="00C31176"/>
    <w:rsid w:val="00C3419A"/>
    <w:rsid w:val="00C52DA4"/>
    <w:rsid w:val="00C65C37"/>
    <w:rsid w:val="00C726E7"/>
    <w:rsid w:val="00C72975"/>
    <w:rsid w:val="00C76511"/>
    <w:rsid w:val="00C81818"/>
    <w:rsid w:val="00C93289"/>
    <w:rsid w:val="00C97C40"/>
    <w:rsid w:val="00CB1A50"/>
    <w:rsid w:val="00CB2B13"/>
    <w:rsid w:val="00CB5413"/>
    <w:rsid w:val="00CB5731"/>
    <w:rsid w:val="00CB66E5"/>
    <w:rsid w:val="00CC354E"/>
    <w:rsid w:val="00CC5390"/>
    <w:rsid w:val="00CC5A2D"/>
    <w:rsid w:val="00CD019A"/>
    <w:rsid w:val="00CD169E"/>
    <w:rsid w:val="00CD2971"/>
    <w:rsid w:val="00CD3A5A"/>
    <w:rsid w:val="00CD4880"/>
    <w:rsid w:val="00CD576F"/>
    <w:rsid w:val="00CE1645"/>
    <w:rsid w:val="00CE4BF1"/>
    <w:rsid w:val="00CE5E84"/>
    <w:rsid w:val="00CF0C45"/>
    <w:rsid w:val="00CF1770"/>
    <w:rsid w:val="00D02A5F"/>
    <w:rsid w:val="00D14394"/>
    <w:rsid w:val="00D1479F"/>
    <w:rsid w:val="00D25B32"/>
    <w:rsid w:val="00D27408"/>
    <w:rsid w:val="00D37E85"/>
    <w:rsid w:val="00D40E08"/>
    <w:rsid w:val="00D43D4F"/>
    <w:rsid w:val="00D46E12"/>
    <w:rsid w:val="00D557F5"/>
    <w:rsid w:val="00D56534"/>
    <w:rsid w:val="00D6417E"/>
    <w:rsid w:val="00D64EAB"/>
    <w:rsid w:val="00D740C3"/>
    <w:rsid w:val="00D8439C"/>
    <w:rsid w:val="00D87EC5"/>
    <w:rsid w:val="00D91B36"/>
    <w:rsid w:val="00D94A3A"/>
    <w:rsid w:val="00DA79D0"/>
    <w:rsid w:val="00DB0161"/>
    <w:rsid w:val="00DE13A2"/>
    <w:rsid w:val="00DE506D"/>
    <w:rsid w:val="00DE5851"/>
    <w:rsid w:val="00DF530B"/>
    <w:rsid w:val="00E05A29"/>
    <w:rsid w:val="00E069F5"/>
    <w:rsid w:val="00E315D9"/>
    <w:rsid w:val="00E51A09"/>
    <w:rsid w:val="00E532A8"/>
    <w:rsid w:val="00E62E7B"/>
    <w:rsid w:val="00E63500"/>
    <w:rsid w:val="00E635AB"/>
    <w:rsid w:val="00E66965"/>
    <w:rsid w:val="00E74800"/>
    <w:rsid w:val="00E75F34"/>
    <w:rsid w:val="00E8256D"/>
    <w:rsid w:val="00E839FE"/>
    <w:rsid w:val="00E8742E"/>
    <w:rsid w:val="00E9139F"/>
    <w:rsid w:val="00E96F39"/>
    <w:rsid w:val="00EA3006"/>
    <w:rsid w:val="00EA3635"/>
    <w:rsid w:val="00EA3F94"/>
    <w:rsid w:val="00EB2610"/>
    <w:rsid w:val="00EB65BD"/>
    <w:rsid w:val="00EC50F1"/>
    <w:rsid w:val="00EC5E62"/>
    <w:rsid w:val="00ED3131"/>
    <w:rsid w:val="00ED4F97"/>
    <w:rsid w:val="00EE1505"/>
    <w:rsid w:val="00EE50FD"/>
    <w:rsid w:val="00EF2EF7"/>
    <w:rsid w:val="00EF45FE"/>
    <w:rsid w:val="00F01F0B"/>
    <w:rsid w:val="00F07A2B"/>
    <w:rsid w:val="00F07C51"/>
    <w:rsid w:val="00F10F9B"/>
    <w:rsid w:val="00F14642"/>
    <w:rsid w:val="00F220F6"/>
    <w:rsid w:val="00F24D80"/>
    <w:rsid w:val="00F25975"/>
    <w:rsid w:val="00F44FD0"/>
    <w:rsid w:val="00F476AD"/>
    <w:rsid w:val="00F476F1"/>
    <w:rsid w:val="00F606FF"/>
    <w:rsid w:val="00F62534"/>
    <w:rsid w:val="00F90B81"/>
    <w:rsid w:val="00F94B11"/>
    <w:rsid w:val="00FA4A98"/>
    <w:rsid w:val="00FA651B"/>
    <w:rsid w:val="00FB23F4"/>
    <w:rsid w:val="00FB41D6"/>
    <w:rsid w:val="00FB41F0"/>
    <w:rsid w:val="00FC4587"/>
    <w:rsid w:val="00FC7EDA"/>
    <w:rsid w:val="00FD7607"/>
    <w:rsid w:val="00FE0C0E"/>
    <w:rsid w:val="00FE5F09"/>
    <w:rsid w:val="00FF740D"/>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FF08C06E-0E45-445E-8803-997B07DE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aliases w:val="Section Title"/>
    <w:basedOn w:val="Normal"/>
    <w:next w:val="Body"/>
    <w:qFormat/>
    <w:pPr>
      <w:keepNext/>
      <w:numPr>
        <w:numId w:val="5"/>
      </w:numPr>
      <w:pBdr>
        <w:bottom w:val="single" w:sz="4" w:space="1" w:color="FF9900"/>
      </w:pBdr>
      <w:spacing w:before="200" w:after="100"/>
      <w:outlineLvl w:val="0"/>
    </w:pPr>
    <w:rPr>
      <w:b/>
      <w:color w:val="000080"/>
      <w:sz w:val="24"/>
      <w:szCs w:val="20"/>
      <w:u w:color="FFCC00"/>
    </w:rPr>
  </w:style>
  <w:style w:type="paragraph" w:styleId="Heading2">
    <w:name w:val="heading 2"/>
    <w:basedOn w:val="Normal"/>
    <w:next w:val="Body"/>
    <w:autoRedefine/>
    <w:qFormat/>
    <w:rsid w:val="000C7B2F"/>
    <w:pPr>
      <w:numPr>
        <w:ilvl w:val="1"/>
        <w:numId w:val="5"/>
      </w:numPr>
      <w:tabs>
        <w:tab w:val="clear" w:pos="1440"/>
      </w:tabs>
      <w:spacing w:before="200" w:after="100"/>
      <w:ind w:left="720"/>
      <w:outlineLvl w:val="1"/>
    </w:pPr>
    <w:rPr>
      <w:rFonts w:cs="Arial"/>
      <w:color w:val="000000"/>
      <w:szCs w:val="20"/>
    </w:rPr>
  </w:style>
  <w:style w:type="paragraph" w:styleId="Heading3">
    <w:name w:val="heading 3"/>
    <w:basedOn w:val="Normal"/>
    <w:next w:val="Body"/>
    <w:autoRedefine/>
    <w:qFormat/>
    <w:rsid w:val="000C7B2F"/>
    <w:pPr>
      <w:numPr>
        <w:ilvl w:val="2"/>
        <w:numId w:val="5"/>
      </w:numPr>
      <w:spacing w:before="200"/>
      <w:outlineLvl w:val="2"/>
    </w:pPr>
    <w:rPr>
      <w:szCs w:val="20"/>
    </w:rPr>
  </w:style>
  <w:style w:type="paragraph" w:styleId="Heading4">
    <w:name w:val="heading 4"/>
    <w:basedOn w:val="Normal"/>
    <w:next w:val="Body"/>
    <w:autoRedefine/>
    <w:qFormat/>
    <w:rsid w:val="00CF0C45"/>
    <w:pPr>
      <w:keepNext/>
      <w:numPr>
        <w:ilvl w:val="3"/>
        <w:numId w:val="5"/>
      </w:numPr>
      <w:tabs>
        <w:tab w:val="left" w:pos="720"/>
      </w:tabs>
      <w:spacing w:before="200"/>
      <w:outlineLvl w:val="3"/>
    </w:pPr>
    <w:rPr>
      <w:b/>
      <w:szCs w:val="20"/>
      <w:lang w:val="en"/>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bllt">
    <w:name w:val="pbllt_"/>
    <w:rPr>
      <w:rFonts w:ascii="Symbol" w:hAnsi="Symbol"/>
      <w:sz w:val="20"/>
    </w:rPr>
  </w:style>
  <w:style w:type="character" w:styleId="Emphasis">
    <w:name w:val="Emphasis"/>
    <w:qFormat/>
    <w:rPr>
      <w:i/>
      <w:iCs/>
    </w:rPr>
  </w:style>
  <w:style w:type="paragraph" w:customStyle="1" w:styleId="TableCell">
    <w:name w:val="Table Cell"/>
    <w:basedOn w:val="Normal"/>
    <w:pPr>
      <w:autoSpaceDE w:val="0"/>
      <w:autoSpaceDN w:val="0"/>
      <w:adjustRightInd w:val="0"/>
      <w:spacing w:before="60" w:after="60"/>
      <w:ind w:left="72" w:right="72"/>
    </w:pPr>
    <w:rPr>
      <w:rFonts w:ascii="Times" w:hAnsi="Times" w:cs="Arial"/>
      <w:color w:val="000000"/>
      <w:szCs w:val="20"/>
    </w:rPr>
  </w:style>
  <w:style w:type="paragraph" w:customStyle="1" w:styleId="TableCellBullet">
    <w:name w:val="Table Cell Bullet"/>
    <w:basedOn w:val="TableCell"/>
    <w:pPr>
      <w:numPr>
        <w:numId w:val="1"/>
      </w:numPr>
      <w:tabs>
        <w:tab w:val="clear" w:pos="792"/>
        <w:tab w:val="left" w:pos="540"/>
      </w:tabs>
      <w:ind w:left="540" w:hanging="180"/>
    </w:pPr>
  </w:style>
  <w:style w:type="character" w:styleId="Hyperlink">
    <w:name w:val="Hyperlink"/>
    <w:rPr>
      <w:color w:val="0000FF"/>
      <w:u w:val="single"/>
    </w:rPr>
  </w:style>
  <w:style w:type="paragraph" w:styleId="BodyText">
    <w:name w:val="Body Text"/>
    <w:basedOn w:val="Normal"/>
    <w:pPr>
      <w:spacing w:after="120"/>
    </w:pPr>
    <w:rPr>
      <w:szCs w:val="20"/>
    </w:rPr>
  </w:style>
  <w:style w:type="paragraph" w:styleId="BodyText2">
    <w:name w:val="Body Text 2"/>
    <w:basedOn w:val="Normal"/>
    <w:rPr>
      <w:b/>
      <w:bCs/>
    </w:rPr>
  </w:style>
  <w:style w:type="paragraph" w:styleId="BodyTextIndent">
    <w:name w:val="Body Text Indent"/>
    <w:basedOn w:val="Normal"/>
    <w:pPr>
      <w:spacing w:before="120" w:after="120"/>
      <w:ind w:left="72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Cs w:val="20"/>
    </w:rPr>
  </w:style>
  <w:style w:type="paragraph" w:customStyle="1" w:styleId="Instruction">
    <w:name w:val="Instruction"/>
    <w:basedOn w:val="Normal"/>
    <w:link w:val="InstructionChar"/>
    <w:pPr>
      <w:pBdr>
        <w:top w:val="single" w:sz="4" w:space="1" w:color="666699"/>
        <w:left w:val="single" w:sz="4" w:space="4" w:color="666699"/>
        <w:bottom w:val="single" w:sz="4" w:space="1" w:color="666699"/>
        <w:right w:val="single" w:sz="4" w:space="4" w:color="666699"/>
      </w:pBdr>
    </w:pPr>
    <w:rPr>
      <w:i/>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Level1">
    <w:name w:val="Level 1"/>
    <w:basedOn w:val="Normal"/>
    <w:pPr>
      <w:widowControl w:val="0"/>
    </w:pPr>
    <w:rPr>
      <w:szCs w:val="20"/>
    </w:rPr>
  </w:style>
  <w:style w:type="paragraph" w:customStyle="1" w:styleId="Level2">
    <w:name w:val="Level 2"/>
    <w:pPr>
      <w:autoSpaceDE w:val="0"/>
      <w:autoSpaceDN w:val="0"/>
      <w:adjustRightInd w:val="0"/>
      <w:ind w:left="1440"/>
    </w:pPr>
    <w:rPr>
      <w:rFonts w:ascii="Courier 12cpi" w:hAnsi="Courier 12cpi"/>
      <w:sz w:val="24"/>
      <w:szCs w:val="24"/>
    </w:rPr>
  </w:style>
  <w:style w:type="paragraph" w:customStyle="1" w:styleId="ArticleHead">
    <w:name w:val="Article Head"/>
    <w:pPr>
      <w:autoSpaceDE w:val="0"/>
      <w:autoSpaceDN w:val="0"/>
      <w:adjustRightInd w:val="0"/>
    </w:pPr>
    <w:rPr>
      <w:b/>
      <w:bCs/>
      <w:color w:val="FF0000"/>
      <w:sz w:val="24"/>
    </w:rPr>
  </w:style>
  <w:style w:type="character" w:customStyle="1" w:styleId="SYSHYPERTEXT">
    <w:name w:val="SYS_HYPERTEXT"/>
    <w:rPr>
      <w:color w:val="0000FF"/>
      <w:u w:val="single"/>
    </w:rPr>
  </w:style>
  <w:style w:type="paragraph" w:styleId="BodyTextIndent2">
    <w:name w:val="Body Text Indent 2"/>
    <w:basedOn w:val="Normal"/>
    <w:pPr>
      <w:tabs>
        <w:tab w:val="left" w:pos="0"/>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ind w:left="1080"/>
      <w:jc w:val="both"/>
    </w:pPr>
    <w:rPr>
      <w:color w:val="000000"/>
    </w:rPr>
  </w:style>
  <w:style w:type="paragraph" w:customStyle="1" w:styleId="Level4">
    <w:name w:val="Level 4"/>
    <w:basedOn w:val="Normal"/>
    <w:rPr>
      <w:szCs w:val="20"/>
    </w:rPr>
  </w:style>
  <w:style w:type="paragraph" w:styleId="BodyTextIndent3">
    <w:name w:val="Body Text Indent 3"/>
    <w:basedOn w:val="Normal"/>
    <w:pPr>
      <w:ind w:left="1440"/>
    </w:pPr>
    <w:rPr>
      <w:color w:val="000000"/>
    </w:rPr>
  </w:style>
  <w:style w:type="paragraph" w:customStyle="1" w:styleId="AppendixHeading1">
    <w:name w:val="Appendix Heading 1"/>
    <w:basedOn w:val="Normal"/>
    <w:next w:val="Normal"/>
    <w:autoRedefine/>
    <w:pPr>
      <w:pageBreakBefore/>
      <w:numPr>
        <w:numId w:val="4"/>
      </w:numPr>
      <w:pBdr>
        <w:bottom w:val="single" w:sz="4" w:space="1" w:color="FF9900"/>
      </w:pBdr>
      <w:spacing w:after="120"/>
    </w:pPr>
    <w:rPr>
      <w:b/>
      <w:bCs/>
      <w:caps/>
      <w:color w:val="000080"/>
      <w:szCs w:val="20"/>
    </w:rPr>
  </w:style>
  <w:style w:type="paragraph" w:customStyle="1" w:styleId="AppendixHeading2">
    <w:name w:val="Appendix Heading 2"/>
    <w:basedOn w:val="Normal"/>
    <w:next w:val="Normal"/>
    <w:autoRedefine/>
    <w:pPr>
      <w:spacing w:before="120" w:after="120"/>
    </w:pPr>
    <w:rPr>
      <w:b/>
      <w:caps/>
      <w:szCs w:val="20"/>
    </w:rPr>
  </w:style>
  <w:style w:type="paragraph" w:customStyle="1" w:styleId="AppendixHeading3">
    <w:name w:val="Appendix Heading 3"/>
    <w:basedOn w:val="Normal"/>
    <w:next w:val="Normal"/>
    <w:pPr>
      <w:keepNext/>
    </w:pPr>
    <w:rPr>
      <w:b/>
      <w:bCs/>
      <w:i/>
      <w:iCs/>
      <w:szCs w:val="20"/>
    </w:rPr>
  </w:style>
  <w:style w:type="paragraph" w:customStyle="1" w:styleId="Body">
    <w:name w:val="Body"/>
    <w:basedOn w:val="Normal"/>
    <w:pPr>
      <w:spacing w:before="100" w:after="100"/>
    </w:pPr>
    <w:rPr>
      <w:szCs w:val="20"/>
    </w:rPr>
  </w:style>
  <w:style w:type="paragraph" w:styleId="ListBullet">
    <w:name w:val="List Bullet"/>
    <w:basedOn w:val="Normal"/>
    <w:autoRedefine/>
    <w:rPr>
      <w:szCs w:val="20"/>
    </w:rPr>
  </w:style>
  <w:style w:type="paragraph" w:styleId="ListBullet2">
    <w:name w:val="List Bullet 2"/>
    <w:basedOn w:val="Normal"/>
    <w:autoRedefine/>
    <w:pPr>
      <w:numPr>
        <w:numId w:val="6"/>
      </w:numPr>
      <w:spacing w:before="100" w:after="100"/>
    </w:pPr>
    <w:rPr>
      <w:szCs w:val="20"/>
    </w:rPr>
  </w:style>
  <w:style w:type="paragraph" w:customStyle="1" w:styleId="TableTitle">
    <w:name w:val="TableTitle"/>
    <w:basedOn w:val="Body"/>
    <w:next w:val="Body"/>
    <w:autoRedefine/>
    <w:pPr>
      <w:keepNext/>
      <w:numPr>
        <w:numId w:val="7"/>
      </w:numPr>
      <w:spacing w:before="360" w:after="120"/>
      <w:jc w:val="center"/>
    </w:pPr>
    <w:rPr>
      <w:b/>
    </w:rPr>
  </w:style>
  <w:style w:type="paragraph" w:styleId="Title">
    <w:name w:val="Title"/>
    <w:basedOn w:val="Normal"/>
    <w:autoRedefine/>
    <w:qFormat/>
    <w:pPr>
      <w:spacing w:before="240" w:after="120"/>
      <w:outlineLvl w:val="0"/>
    </w:pPr>
    <w:rPr>
      <w:b/>
      <w:color w:val="000080"/>
      <w:kern w:val="28"/>
      <w:sz w:val="24"/>
      <w:szCs w:val="20"/>
    </w:rPr>
  </w:style>
  <w:style w:type="paragraph" w:styleId="TOC1">
    <w:name w:val="toc 1"/>
    <w:basedOn w:val="Normal"/>
    <w:next w:val="Normal"/>
    <w:autoRedefine/>
    <w:semiHidden/>
    <w:pPr>
      <w:tabs>
        <w:tab w:val="right" w:leader="dot" w:pos="8640"/>
      </w:tabs>
      <w:spacing w:before="120"/>
      <w:ind w:right="187"/>
    </w:pPr>
    <w:rPr>
      <w:b/>
      <w:bCs/>
      <w:caps/>
      <w:noProof/>
      <w:szCs w:val="32"/>
    </w:rPr>
  </w:style>
  <w:style w:type="paragraph" w:styleId="TOC2">
    <w:name w:val="toc 2"/>
    <w:basedOn w:val="Normal"/>
    <w:next w:val="Normal"/>
    <w:autoRedefine/>
    <w:semiHidden/>
    <w:pPr>
      <w:tabs>
        <w:tab w:val="left" w:pos="720"/>
        <w:tab w:val="right" w:leader="dot" w:pos="8640"/>
      </w:tabs>
      <w:spacing w:before="40"/>
      <w:ind w:left="720" w:right="187" w:hanging="518"/>
    </w:pPr>
    <w:rPr>
      <w:noProof/>
    </w:rPr>
  </w:style>
  <w:style w:type="paragraph" w:styleId="TOC3">
    <w:name w:val="toc 3"/>
    <w:basedOn w:val="Normal"/>
    <w:next w:val="Normal"/>
    <w:autoRedefine/>
    <w:semiHidden/>
    <w:pPr>
      <w:tabs>
        <w:tab w:val="left" w:pos="1440"/>
        <w:tab w:val="right" w:leader="dot" w:pos="8640"/>
      </w:tabs>
      <w:ind w:left="1440" w:right="180" w:hanging="720"/>
    </w:pPr>
    <w:rPr>
      <w:i/>
      <w:iCs/>
      <w:noProof/>
    </w:rPr>
  </w:style>
  <w:style w:type="paragraph" w:styleId="TOC4">
    <w:name w:val="toc 4"/>
    <w:basedOn w:val="Normal"/>
    <w:next w:val="Normal"/>
    <w:autoRedefine/>
    <w:semiHidden/>
    <w:pPr>
      <w:ind w:left="600"/>
    </w:pPr>
    <w:rPr>
      <w:szCs w:val="21"/>
    </w:rPr>
  </w:style>
  <w:style w:type="paragraph" w:styleId="TOC5">
    <w:name w:val="toc 5"/>
    <w:basedOn w:val="Normal"/>
    <w:next w:val="Normal"/>
    <w:autoRedefine/>
    <w:semiHidden/>
    <w:pPr>
      <w:ind w:left="800"/>
    </w:pPr>
    <w:rPr>
      <w:szCs w:val="21"/>
    </w:rPr>
  </w:style>
  <w:style w:type="paragraph" w:customStyle="1" w:styleId="TableTitleNotautonumbered">
    <w:name w:val="Table Title Not auto numbered"/>
    <w:basedOn w:val="Body"/>
    <w:pPr>
      <w:spacing w:before="360" w:after="120"/>
      <w:jc w:val="center"/>
    </w:pPr>
    <w:rPr>
      <w:b/>
    </w:rPr>
  </w:style>
  <w:style w:type="paragraph" w:customStyle="1" w:styleId="pbody">
    <w:name w:val="pbody"/>
    <w:basedOn w:val="Normal"/>
    <w:rsid w:val="00CF0C45"/>
    <w:pPr>
      <w:spacing w:line="288" w:lineRule="auto"/>
      <w:ind w:firstLine="240"/>
    </w:pPr>
    <w:rPr>
      <w:rFonts w:cs="Arial"/>
      <w:color w:val="000000"/>
      <w:szCs w:val="20"/>
    </w:rPr>
  </w:style>
  <w:style w:type="paragraph" w:customStyle="1" w:styleId="contracts">
    <w:name w:val="contracts"/>
    <w:pPr>
      <w:spacing w:before="40" w:after="40"/>
    </w:pPr>
    <w:rPr>
      <w:rFonts w:ascii="Helvetica" w:hAnsi="Helvetica"/>
      <w:b/>
    </w:rPr>
  </w:style>
  <w:style w:type="paragraph" w:styleId="BodyText3">
    <w:name w:val="Body Text 3"/>
    <w:basedOn w:val="Normal"/>
    <w:pPr>
      <w:jc w:val="both"/>
    </w:pPr>
  </w:style>
  <w:style w:type="paragraph" w:customStyle="1" w:styleId="FieldNumb01">
    <w:name w:val="Field Numb01"/>
    <w:rsid w:val="001A0337"/>
    <w:pPr>
      <w:autoSpaceDE w:val="0"/>
      <w:autoSpaceDN w:val="0"/>
      <w:adjustRightInd w:val="0"/>
      <w:ind w:left="720"/>
    </w:pPr>
    <w:rPr>
      <w:sz w:val="24"/>
      <w:szCs w:val="24"/>
    </w:rPr>
  </w:style>
  <w:style w:type="character" w:styleId="CommentReference">
    <w:name w:val="annotation reference"/>
    <w:semiHidden/>
    <w:rsid w:val="001E558E"/>
    <w:rPr>
      <w:sz w:val="16"/>
      <w:szCs w:val="16"/>
    </w:rPr>
  </w:style>
  <w:style w:type="paragraph" w:styleId="CommentText">
    <w:name w:val="annotation text"/>
    <w:basedOn w:val="Normal"/>
    <w:semiHidden/>
    <w:rsid w:val="001E558E"/>
    <w:rPr>
      <w:szCs w:val="20"/>
    </w:rPr>
  </w:style>
  <w:style w:type="paragraph" w:styleId="CommentSubject">
    <w:name w:val="annotation subject"/>
    <w:basedOn w:val="CommentText"/>
    <w:next w:val="CommentText"/>
    <w:semiHidden/>
    <w:rsid w:val="001E558E"/>
    <w:rPr>
      <w:b/>
      <w:bCs/>
    </w:rPr>
  </w:style>
  <w:style w:type="paragraph" w:styleId="BalloonText">
    <w:name w:val="Balloon Text"/>
    <w:basedOn w:val="Normal"/>
    <w:semiHidden/>
    <w:rsid w:val="001E558E"/>
    <w:rPr>
      <w:rFonts w:ascii="Tahoma" w:hAnsi="Tahoma" w:cs="Tahoma"/>
      <w:sz w:val="16"/>
      <w:szCs w:val="16"/>
    </w:rPr>
  </w:style>
  <w:style w:type="paragraph" w:customStyle="1" w:styleId="pindented1">
    <w:name w:val="pindented1"/>
    <w:basedOn w:val="Normal"/>
    <w:rsid w:val="00CF0C45"/>
    <w:pPr>
      <w:spacing w:line="288" w:lineRule="auto"/>
      <w:ind w:firstLine="480"/>
    </w:pPr>
    <w:rPr>
      <w:rFonts w:cs="Arial"/>
      <w:color w:val="000000"/>
      <w:szCs w:val="20"/>
    </w:rPr>
  </w:style>
  <w:style w:type="paragraph" w:customStyle="1" w:styleId="Default">
    <w:name w:val="Default"/>
    <w:rsid w:val="009619B0"/>
    <w:pPr>
      <w:autoSpaceDE w:val="0"/>
      <w:autoSpaceDN w:val="0"/>
      <w:adjustRightInd w:val="0"/>
    </w:pPr>
    <w:rPr>
      <w:rFonts w:ascii="Arial Narrow" w:hAnsi="Arial Narrow" w:cs="Arial Narrow"/>
      <w:color w:val="000000"/>
      <w:sz w:val="24"/>
      <w:szCs w:val="24"/>
    </w:rPr>
  </w:style>
  <w:style w:type="character" w:customStyle="1" w:styleId="InstructionChar">
    <w:name w:val="Instruction Char"/>
    <w:link w:val="Instruction"/>
    <w:rsid w:val="009619B0"/>
    <w:rPr>
      <w:rFonts w:ascii="Arial" w:hAnsi="Arial"/>
      <w:i/>
      <w:szCs w:val="24"/>
      <w:lang w:val="en-US" w:eastAsia="en-US" w:bidi="ar-SA"/>
    </w:rPr>
  </w:style>
  <w:style w:type="table" w:styleId="TableGrid">
    <w:name w:val="Table Grid"/>
    <w:basedOn w:val="TableNormal"/>
    <w:rsid w:val="0096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1F2A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8087">
      <w:bodyDiv w:val="1"/>
      <w:marLeft w:val="0"/>
      <w:marRight w:val="0"/>
      <w:marTop w:val="0"/>
      <w:marBottom w:val="0"/>
      <w:divBdr>
        <w:top w:val="none" w:sz="0" w:space="0" w:color="auto"/>
        <w:left w:val="none" w:sz="0" w:space="0" w:color="auto"/>
        <w:bottom w:val="none" w:sz="0" w:space="0" w:color="auto"/>
        <w:right w:val="none" w:sz="0" w:space="0" w:color="auto"/>
      </w:divBdr>
    </w:div>
    <w:div w:id="531574687">
      <w:bodyDiv w:val="1"/>
      <w:marLeft w:val="0"/>
      <w:marRight w:val="0"/>
      <w:marTop w:val="0"/>
      <w:marBottom w:val="0"/>
      <w:divBdr>
        <w:top w:val="none" w:sz="0" w:space="0" w:color="auto"/>
        <w:left w:val="none" w:sz="0" w:space="0" w:color="auto"/>
        <w:bottom w:val="none" w:sz="0" w:space="0" w:color="auto"/>
        <w:right w:val="none" w:sz="0" w:space="0" w:color="auto"/>
      </w:divBdr>
    </w:div>
    <w:div w:id="1170949316">
      <w:bodyDiv w:val="1"/>
      <w:marLeft w:val="0"/>
      <w:marRight w:val="0"/>
      <w:marTop w:val="0"/>
      <w:marBottom w:val="0"/>
      <w:divBdr>
        <w:top w:val="none" w:sz="0" w:space="0" w:color="auto"/>
        <w:left w:val="none" w:sz="0" w:space="0" w:color="auto"/>
        <w:bottom w:val="none" w:sz="0" w:space="0" w:color="auto"/>
        <w:right w:val="none" w:sz="0" w:space="0" w:color="auto"/>
      </w:divBdr>
      <w:divsChild>
        <w:div w:id="1741439342">
          <w:marLeft w:val="0"/>
          <w:marRight w:val="0"/>
          <w:marTop w:val="0"/>
          <w:marBottom w:val="0"/>
          <w:divBdr>
            <w:top w:val="single" w:sz="6" w:space="0" w:color="20396C"/>
            <w:left w:val="single" w:sz="6" w:space="0" w:color="20396C"/>
            <w:bottom w:val="single" w:sz="6" w:space="0" w:color="20396C"/>
            <w:right w:val="single" w:sz="6" w:space="0" w:color="20396C"/>
          </w:divBdr>
          <w:divsChild>
            <w:div w:id="1177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6156">
      <w:bodyDiv w:val="1"/>
      <w:marLeft w:val="0"/>
      <w:marRight w:val="0"/>
      <w:marTop w:val="0"/>
      <w:marBottom w:val="0"/>
      <w:divBdr>
        <w:top w:val="none" w:sz="0" w:space="0" w:color="auto"/>
        <w:left w:val="none" w:sz="0" w:space="0" w:color="auto"/>
        <w:bottom w:val="none" w:sz="0" w:space="0" w:color="auto"/>
        <w:right w:val="none" w:sz="0" w:space="0" w:color="auto"/>
      </w:divBdr>
    </w:div>
    <w:div w:id="1776900610">
      <w:bodyDiv w:val="1"/>
      <w:marLeft w:val="0"/>
      <w:marRight w:val="0"/>
      <w:marTop w:val="0"/>
      <w:marBottom w:val="0"/>
      <w:divBdr>
        <w:top w:val="none" w:sz="0" w:space="0" w:color="auto"/>
        <w:left w:val="none" w:sz="0" w:space="0" w:color="auto"/>
        <w:bottom w:val="none" w:sz="0" w:space="0" w:color="auto"/>
        <w:right w:val="none" w:sz="0" w:space="0" w:color="auto"/>
      </w:divBdr>
    </w:div>
    <w:div w:id="18027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NITAAC Statement of Work (SOW)</vt:lpstr>
    </vt:vector>
  </TitlesOfParts>
  <Company>OD/NIH</Company>
  <LinksUpToDate>false</LinksUpToDate>
  <CharactersWithSpaces>6744</CharactersWithSpaces>
  <SharedDoc>false</SharedDoc>
  <HLinks>
    <vt:vector size="6" baseType="variant">
      <vt:variant>
        <vt:i4>7143438</vt:i4>
      </vt:variant>
      <vt:variant>
        <vt:i4>-1</vt:i4>
      </vt:variant>
      <vt:variant>
        <vt:i4>2049</vt:i4>
      </vt:variant>
      <vt:variant>
        <vt:i4>1</vt:i4>
      </vt:variant>
      <vt:variant>
        <vt:lpwstr>img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NITAAC Statement of Work (SOW)</dc:title>
  <dc:subject/>
  <dc:creator>RussellW</dc:creator>
  <cp:keywords/>
  <dc:description/>
  <cp:lastModifiedBy>Hernandez, Cameron (NIH/OD) [E]</cp:lastModifiedBy>
  <cp:revision>2</cp:revision>
  <cp:lastPrinted>2011-08-15T23:13:00Z</cp:lastPrinted>
  <dcterms:created xsi:type="dcterms:W3CDTF">2016-07-11T12:59:00Z</dcterms:created>
  <dcterms:modified xsi:type="dcterms:W3CDTF">2016-07-11T12:59:00Z</dcterms:modified>
</cp:coreProperties>
</file>